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7F" w:rsidRPr="009E08C5" w:rsidRDefault="006D4D38" w:rsidP="009E08C5">
      <w:pPr>
        <w:spacing w:after="0" w:line="240" w:lineRule="auto"/>
        <w:jc w:val="center"/>
        <w:rPr>
          <w:rFonts w:ascii="Arial" w:hAnsi="Arial" w:cs="Arial"/>
          <w:b/>
          <w:bCs/>
          <w:color w:val="FF0000"/>
          <w:lang w:val="id-ID"/>
        </w:rPr>
      </w:pPr>
      <w:r w:rsidRPr="009E08C5">
        <w:rPr>
          <w:rFonts w:ascii="Arial" w:hAnsi="Arial" w:cs="Arial"/>
          <w:b/>
          <w:bCs/>
          <w:lang w:val="id-ID"/>
        </w:rPr>
        <w:t>Analysis o</w:t>
      </w:r>
      <w:r w:rsidR="00622688" w:rsidRPr="009E08C5">
        <w:rPr>
          <w:rFonts w:ascii="Arial" w:hAnsi="Arial" w:cs="Arial"/>
          <w:b/>
          <w:bCs/>
          <w:lang w:val="id-ID"/>
        </w:rPr>
        <w:t>f t</w:t>
      </w:r>
      <w:r w:rsidRPr="009E08C5">
        <w:rPr>
          <w:rFonts w:ascii="Arial" w:hAnsi="Arial" w:cs="Arial"/>
          <w:b/>
          <w:bCs/>
          <w:lang w:val="id-ID"/>
        </w:rPr>
        <w:t xml:space="preserve">he </w:t>
      </w:r>
      <w:r w:rsidR="00622688" w:rsidRPr="009E08C5">
        <w:rPr>
          <w:rFonts w:ascii="Arial" w:hAnsi="Arial" w:cs="Arial"/>
          <w:b/>
          <w:bCs/>
          <w:lang w:val="id-ID"/>
        </w:rPr>
        <w:t>u</w:t>
      </w:r>
      <w:r w:rsidRPr="009E08C5">
        <w:rPr>
          <w:rFonts w:ascii="Arial" w:hAnsi="Arial" w:cs="Arial"/>
          <w:b/>
          <w:bCs/>
          <w:lang w:val="id-ID"/>
        </w:rPr>
        <w:t xml:space="preserve">se and </w:t>
      </w:r>
      <w:r w:rsidR="00622688" w:rsidRPr="009E08C5">
        <w:rPr>
          <w:rFonts w:ascii="Arial" w:hAnsi="Arial" w:cs="Arial"/>
          <w:b/>
          <w:bCs/>
          <w:lang w:val="id-ID"/>
        </w:rPr>
        <w:t>c</w:t>
      </w:r>
      <w:r w:rsidRPr="009E08C5">
        <w:rPr>
          <w:rFonts w:ascii="Arial" w:hAnsi="Arial" w:cs="Arial"/>
          <w:b/>
          <w:bCs/>
          <w:lang w:val="id-ID"/>
        </w:rPr>
        <w:t xml:space="preserve">ost of </w:t>
      </w:r>
      <w:r w:rsidR="00622688" w:rsidRPr="009E08C5">
        <w:rPr>
          <w:rFonts w:ascii="Arial" w:hAnsi="Arial" w:cs="Arial"/>
          <w:b/>
          <w:bCs/>
          <w:lang w:val="id-ID"/>
        </w:rPr>
        <w:t>s</w:t>
      </w:r>
      <w:r w:rsidRPr="009E08C5">
        <w:rPr>
          <w:rFonts w:ascii="Arial" w:hAnsi="Arial" w:cs="Arial"/>
          <w:b/>
          <w:bCs/>
          <w:lang w:val="id-ID"/>
        </w:rPr>
        <w:t xml:space="preserve">tress </w:t>
      </w:r>
      <w:r w:rsidR="00622688" w:rsidRPr="009E08C5">
        <w:rPr>
          <w:rFonts w:ascii="Arial" w:hAnsi="Arial" w:cs="Arial"/>
          <w:b/>
          <w:bCs/>
          <w:lang w:val="id-ID"/>
        </w:rPr>
        <w:t>u</w:t>
      </w:r>
      <w:r w:rsidRPr="009E08C5">
        <w:rPr>
          <w:rFonts w:ascii="Arial" w:hAnsi="Arial" w:cs="Arial"/>
          <w:b/>
          <w:bCs/>
          <w:lang w:val="id-ID"/>
        </w:rPr>
        <w:t xml:space="preserve">lcer </w:t>
      </w:r>
      <w:r w:rsidR="00622688" w:rsidRPr="009E08C5">
        <w:rPr>
          <w:rFonts w:ascii="Arial" w:hAnsi="Arial" w:cs="Arial"/>
          <w:b/>
          <w:bCs/>
          <w:lang w:val="id-ID"/>
        </w:rPr>
        <w:t>p</w:t>
      </w:r>
      <w:r w:rsidRPr="009E08C5">
        <w:rPr>
          <w:rFonts w:ascii="Arial" w:hAnsi="Arial" w:cs="Arial"/>
          <w:b/>
          <w:bCs/>
          <w:lang w:val="id-ID"/>
        </w:rPr>
        <w:t xml:space="preserve">rophylaxis </w:t>
      </w:r>
      <w:r w:rsidR="00A71561" w:rsidRPr="009E08C5">
        <w:rPr>
          <w:rFonts w:ascii="Arial" w:hAnsi="Arial" w:cs="Arial"/>
          <w:b/>
          <w:bCs/>
          <w:lang w:val="id-ID"/>
        </w:rPr>
        <w:t>f</w:t>
      </w:r>
      <w:r w:rsidRPr="009E08C5">
        <w:rPr>
          <w:rFonts w:ascii="Arial" w:hAnsi="Arial" w:cs="Arial"/>
          <w:b/>
          <w:bCs/>
          <w:lang w:val="id-ID"/>
        </w:rPr>
        <w:t xml:space="preserve">or </w:t>
      </w:r>
      <w:r w:rsidR="00622688" w:rsidRPr="009E08C5">
        <w:rPr>
          <w:rFonts w:ascii="Arial" w:hAnsi="Arial" w:cs="Arial"/>
          <w:b/>
          <w:bCs/>
          <w:lang w:val="id-ID"/>
        </w:rPr>
        <w:t>s</w:t>
      </w:r>
      <w:r w:rsidRPr="009E08C5">
        <w:rPr>
          <w:rFonts w:ascii="Arial" w:hAnsi="Arial" w:cs="Arial"/>
          <w:b/>
          <w:bCs/>
          <w:lang w:val="id-ID"/>
        </w:rPr>
        <w:t xml:space="preserve">urgical </w:t>
      </w:r>
      <w:r w:rsidR="00622688" w:rsidRPr="009E08C5">
        <w:rPr>
          <w:rFonts w:ascii="Arial" w:hAnsi="Arial" w:cs="Arial"/>
          <w:b/>
          <w:bCs/>
          <w:lang w:val="id-ID"/>
        </w:rPr>
        <w:t>i</w:t>
      </w:r>
      <w:r w:rsidRPr="009E08C5">
        <w:rPr>
          <w:rFonts w:ascii="Arial" w:hAnsi="Arial" w:cs="Arial"/>
          <w:b/>
          <w:bCs/>
          <w:lang w:val="id-ID"/>
        </w:rPr>
        <w:t>n</w:t>
      </w:r>
      <w:r w:rsidR="00A71561" w:rsidRPr="009E08C5">
        <w:rPr>
          <w:rFonts w:ascii="Arial" w:hAnsi="Arial" w:cs="Arial"/>
          <w:b/>
          <w:bCs/>
          <w:lang w:val="id-ID"/>
        </w:rPr>
        <w:t>p</w:t>
      </w:r>
      <w:r w:rsidRPr="009E08C5">
        <w:rPr>
          <w:rFonts w:ascii="Arial" w:hAnsi="Arial" w:cs="Arial"/>
          <w:b/>
          <w:bCs/>
          <w:lang w:val="id-ID"/>
        </w:rPr>
        <w:t>atients</w:t>
      </w:r>
      <w:r w:rsidR="000944E3" w:rsidRPr="009E08C5">
        <w:rPr>
          <w:rFonts w:ascii="Arial" w:hAnsi="Arial" w:cs="Arial"/>
          <w:b/>
          <w:bCs/>
          <w:lang w:val="id-ID"/>
        </w:rPr>
        <w:t xml:space="preserve"> </w:t>
      </w:r>
      <w:r w:rsidR="000944E3" w:rsidRPr="009E08C5">
        <w:rPr>
          <w:rFonts w:ascii="Arial" w:hAnsi="Arial" w:cs="Arial"/>
          <w:b/>
          <w:bCs/>
          <w:color w:val="FF0000"/>
          <w:lang w:val="id-ID"/>
        </w:rPr>
        <w:t xml:space="preserve">(maximum </w:t>
      </w:r>
      <w:r w:rsidR="00A71561" w:rsidRPr="009E08C5">
        <w:rPr>
          <w:rFonts w:ascii="Arial" w:hAnsi="Arial" w:cs="Arial"/>
          <w:b/>
          <w:bCs/>
          <w:color w:val="FF0000"/>
          <w:lang w:val="id-ID"/>
        </w:rPr>
        <w:t>50</w:t>
      </w:r>
      <w:r w:rsidR="000944E3" w:rsidRPr="009E08C5">
        <w:rPr>
          <w:rFonts w:ascii="Arial" w:hAnsi="Arial" w:cs="Arial"/>
          <w:b/>
          <w:bCs/>
          <w:color w:val="FF0000"/>
          <w:lang w:val="id-ID"/>
        </w:rPr>
        <w:t xml:space="preserve"> words)</w:t>
      </w:r>
    </w:p>
    <w:p w:rsidR="00AE797F" w:rsidRPr="009E08C5" w:rsidRDefault="00AE797F"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r w:rsidRPr="009E08C5">
        <w:rPr>
          <w:rFonts w:ascii="Arial" w:hAnsi="Arial" w:cs="Arial"/>
          <w:lang w:val="id-ID"/>
        </w:rPr>
        <w:t>Dhani Wijaya</w:t>
      </w:r>
      <w:r w:rsidRPr="009E08C5">
        <w:rPr>
          <w:rFonts w:ascii="Arial" w:hAnsi="Arial" w:cs="Arial"/>
          <w:vertAlign w:val="superscript"/>
          <w:lang w:val="id-ID"/>
        </w:rPr>
        <w:t>1</w:t>
      </w:r>
      <w:r w:rsidRPr="009E08C5">
        <w:rPr>
          <w:rFonts w:ascii="Arial" w:hAnsi="Arial" w:cs="Arial"/>
          <w:lang w:val="id-ID"/>
        </w:rPr>
        <w:t>, Elfri Padolo</w:t>
      </w:r>
      <w:r w:rsidRPr="009E08C5">
        <w:rPr>
          <w:rFonts w:ascii="Arial" w:hAnsi="Arial" w:cs="Arial"/>
          <w:vertAlign w:val="superscript"/>
          <w:lang w:val="id-ID"/>
        </w:rPr>
        <w:t>2</w:t>
      </w:r>
      <w:r w:rsidRPr="009E08C5">
        <w:rPr>
          <w:rFonts w:ascii="Arial" w:hAnsi="Arial" w:cs="Arial"/>
          <w:lang w:val="id-ID"/>
        </w:rPr>
        <w:t>, Chrismawan Ardianto</w:t>
      </w:r>
      <w:r w:rsidRPr="009E08C5">
        <w:rPr>
          <w:rFonts w:ascii="Arial" w:hAnsi="Arial" w:cs="Arial"/>
          <w:vertAlign w:val="superscript"/>
          <w:lang w:val="id-ID"/>
        </w:rPr>
        <w:t>1</w:t>
      </w:r>
      <w:r w:rsidRPr="009E08C5">
        <w:rPr>
          <w:rFonts w:ascii="Arial" w:hAnsi="Arial" w:cs="Arial"/>
          <w:lang w:val="id-ID"/>
        </w:rPr>
        <w:t>, Sumarno</w:t>
      </w:r>
      <w:r w:rsidRPr="009E08C5">
        <w:rPr>
          <w:rFonts w:ascii="Arial" w:hAnsi="Arial" w:cs="Arial"/>
          <w:vertAlign w:val="superscript"/>
          <w:lang w:val="id-ID"/>
        </w:rPr>
        <w:t>1</w:t>
      </w:r>
      <w:r w:rsidRPr="009E08C5">
        <w:rPr>
          <w:rFonts w:ascii="Arial" w:hAnsi="Arial" w:cs="Arial"/>
          <w:lang w:val="id-ID"/>
        </w:rPr>
        <w:t>, Fendy Matulatan</w:t>
      </w:r>
      <w:r w:rsidRPr="009E08C5">
        <w:rPr>
          <w:rFonts w:ascii="Arial" w:hAnsi="Arial" w:cs="Arial"/>
          <w:vertAlign w:val="superscript"/>
          <w:lang w:val="id-ID"/>
        </w:rPr>
        <w:t>3</w:t>
      </w:r>
      <w:r w:rsidRPr="009E08C5">
        <w:rPr>
          <w:rFonts w:ascii="Arial" w:hAnsi="Arial" w:cs="Arial"/>
          <w:lang w:val="id-ID"/>
        </w:rPr>
        <w:t>, Christopher Paul Alderman</w:t>
      </w:r>
      <w:r w:rsidRPr="009E08C5">
        <w:rPr>
          <w:rFonts w:ascii="Arial" w:hAnsi="Arial" w:cs="Arial"/>
          <w:vertAlign w:val="superscript"/>
          <w:lang w:val="id-ID"/>
        </w:rPr>
        <w:t>1,4</w:t>
      </w:r>
      <w:r w:rsidRPr="009E08C5">
        <w:rPr>
          <w:rFonts w:ascii="Arial" w:hAnsi="Arial" w:cs="Arial"/>
          <w:lang w:val="id-ID"/>
        </w:rPr>
        <w:t>, Suharjono</w:t>
      </w:r>
      <w:r w:rsidRPr="009E08C5">
        <w:rPr>
          <w:rFonts w:ascii="Arial" w:hAnsi="Arial" w:cs="Arial"/>
          <w:vertAlign w:val="superscript"/>
          <w:lang w:val="id-ID"/>
        </w:rPr>
        <w:t>1</w:t>
      </w:r>
      <w:r w:rsidRPr="009E08C5">
        <w:rPr>
          <w:rFonts w:ascii="Arial" w:hAnsi="Arial" w:cs="Arial"/>
        </w:rPr>
        <w:t>*</w:t>
      </w:r>
    </w:p>
    <w:p w:rsidR="006D4D38" w:rsidRPr="009E08C5" w:rsidRDefault="006D4D38"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r w:rsidRPr="009E08C5">
        <w:rPr>
          <w:rFonts w:ascii="Arial" w:hAnsi="Arial" w:cs="Arial"/>
          <w:vertAlign w:val="superscript"/>
          <w:lang w:val="id-ID"/>
        </w:rPr>
        <w:t>1</w:t>
      </w:r>
      <w:r w:rsidRPr="009E08C5">
        <w:rPr>
          <w:rFonts w:ascii="Arial" w:hAnsi="Arial" w:cs="Arial"/>
          <w:lang w:val="id-ID"/>
        </w:rPr>
        <w:t xml:space="preserve"> Department of Clinical Pharmacy, Faculty of Pharmacy, University of Airlangga, Surabaya, Indonesia</w:t>
      </w:r>
    </w:p>
    <w:p w:rsidR="00AE797F" w:rsidRPr="009E08C5" w:rsidRDefault="00AE797F" w:rsidP="00AE797F">
      <w:pPr>
        <w:spacing w:after="0" w:line="240" w:lineRule="auto"/>
        <w:rPr>
          <w:rFonts w:ascii="Arial" w:hAnsi="Arial" w:cs="Arial"/>
          <w:lang w:val="id-ID"/>
        </w:rPr>
      </w:pPr>
      <w:r w:rsidRPr="009E08C5">
        <w:rPr>
          <w:rFonts w:ascii="Arial" w:hAnsi="Arial" w:cs="Arial"/>
          <w:vertAlign w:val="superscript"/>
          <w:lang w:val="id-ID"/>
        </w:rPr>
        <w:t>2</w:t>
      </w:r>
      <w:r w:rsidRPr="009E08C5">
        <w:rPr>
          <w:rFonts w:ascii="Arial" w:hAnsi="Arial" w:cs="Arial"/>
          <w:lang w:val="id-ID"/>
        </w:rPr>
        <w:t xml:space="preserve"> Department of General Surgery, Dr. Soetomo General Hospital, Surabaya, Indonesia</w:t>
      </w:r>
    </w:p>
    <w:p w:rsidR="00AE797F" w:rsidRPr="009E08C5" w:rsidRDefault="00AE797F" w:rsidP="00AE797F">
      <w:pPr>
        <w:spacing w:after="0" w:line="240" w:lineRule="auto"/>
        <w:rPr>
          <w:rFonts w:ascii="Arial" w:hAnsi="Arial" w:cs="Arial"/>
          <w:lang w:val="id-ID"/>
        </w:rPr>
      </w:pPr>
      <w:r w:rsidRPr="009E08C5">
        <w:rPr>
          <w:rFonts w:ascii="Arial" w:hAnsi="Arial" w:cs="Arial"/>
          <w:vertAlign w:val="superscript"/>
          <w:lang w:val="id-ID"/>
        </w:rPr>
        <w:t>3</w:t>
      </w:r>
      <w:r w:rsidRPr="009E08C5">
        <w:rPr>
          <w:rFonts w:ascii="Arial" w:hAnsi="Arial" w:cs="Arial"/>
          <w:lang w:val="id-ID"/>
        </w:rPr>
        <w:t xml:space="preserve"> Department of Pharmacy, Dr. Soetomo General Hospital, Surabaya, Indonesia</w:t>
      </w:r>
    </w:p>
    <w:p w:rsidR="00AE797F" w:rsidRPr="009E08C5" w:rsidRDefault="00AE797F" w:rsidP="00AE797F">
      <w:pPr>
        <w:spacing w:after="0" w:line="240" w:lineRule="auto"/>
        <w:rPr>
          <w:rFonts w:ascii="Arial" w:hAnsi="Arial" w:cs="Arial"/>
          <w:lang w:val="id-ID"/>
        </w:rPr>
      </w:pPr>
      <w:r w:rsidRPr="009E08C5">
        <w:rPr>
          <w:rFonts w:ascii="Arial" w:hAnsi="Arial" w:cs="Arial"/>
          <w:vertAlign w:val="superscript"/>
          <w:lang w:val="id-ID"/>
        </w:rPr>
        <w:t>4</w:t>
      </w:r>
      <w:r w:rsidR="006D4D38" w:rsidRPr="009E08C5">
        <w:rPr>
          <w:rFonts w:ascii="Arial" w:hAnsi="Arial" w:cs="Arial"/>
          <w:lang w:val="id-ID"/>
        </w:rPr>
        <w:t xml:space="preserve"> </w:t>
      </w:r>
      <w:r w:rsidRPr="009E08C5">
        <w:rPr>
          <w:rFonts w:ascii="Arial" w:hAnsi="Arial" w:cs="Arial"/>
          <w:lang w:val="id-ID"/>
        </w:rPr>
        <w:t>School of Pharmacy and Medical Sciences, University of South Australia, Adelaide, Australia</w:t>
      </w:r>
    </w:p>
    <w:p w:rsidR="00AE797F" w:rsidRPr="009E08C5" w:rsidRDefault="00AE797F"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p>
    <w:p w:rsidR="00AE797F" w:rsidRPr="009E08C5" w:rsidRDefault="00F26707" w:rsidP="00AE797F">
      <w:pPr>
        <w:spacing w:after="0" w:line="240" w:lineRule="auto"/>
        <w:rPr>
          <w:rFonts w:ascii="Arial" w:hAnsi="Arial" w:cs="Arial"/>
          <w:b/>
          <w:lang w:val="id-ID"/>
        </w:rPr>
      </w:pPr>
      <w:r w:rsidRPr="009E08C5">
        <w:rPr>
          <w:rFonts w:ascii="Arial" w:hAnsi="Arial" w:cs="Arial"/>
          <w:b/>
          <w:lang w:val="id-ID"/>
        </w:rPr>
        <w:t>Abstract</w:t>
      </w:r>
    </w:p>
    <w:p w:rsidR="00AE797F" w:rsidRPr="009E08C5" w:rsidRDefault="00AE797F" w:rsidP="00AE797F">
      <w:pPr>
        <w:spacing w:after="0" w:line="240" w:lineRule="auto"/>
        <w:rPr>
          <w:rFonts w:ascii="Arial" w:hAnsi="Arial" w:cs="Arial"/>
          <w:lang w:val="id-ID"/>
        </w:rPr>
      </w:pPr>
      <w:bookmarkStart w:id="0" w:name="_GoBack"/>
      <w:bookmarkEnd w:id="0"/>
    </w:p>
    <w:p w:rsidR="00AE797F" w:rsidRPr="009E08C5" w:rsidRDefault="00AE797F" w:rsidP="00AE797F">
      <w:pPr>
        <w:spacing w:after="0" w:line="240" w:lineRule="auto"/>
        <w:jc w:val="both"/>
        <w:rPr>
          <w:rFonts w:ascii="Arial" w:hAnsi="Arial" w:cs="Arial"/>
          <w:lang w:val="id-ID"/>
        </w:rPr>
      </w:pPr>
      <w:r w:rsidRPr="009E08C5">
        <w:rPr>
          <w:rFonts w:ascii="Arial" w:hAnsi="Arial" w:cs="Arial"/>
          <w:b/>
          <w:lang w:val="id-ID"/>
        </w:rPr>
        <w:t>Background:</w:t>
      </w:r>
      <w:r w:rsidRPr="009E08C5">
        <w:rPr>
          <w:rFonts w:ascii="Arial" w:hAnsi="Arial" w:cs="Arial"/>
          <w:lang w:val="id-ID"/>
        </w:rPr>
        <w:t xml:space="preserve"> </w:t>
      </w:r>
      <w:r w:rsidR="000944E3" w:rsidRPr="009E08C5">
        <w:rPr>
          <w:rFonts w:ascii="Arial" w:hAnsi="Arial" w:cs="Arial"/>
        </w:rPr>
        <w:t>A concise abstract is required (± 2</w:t>
      </w:r>
      <w:r w:rsidR="000944E3" w:rsidRPr="009E08C5">
        <w:rPr>
          <w:rFonts w:ascii="Arial" w:hAnsi="Arial" w:cs="Arial"/>
          <w:lang w:val="id-ID"/>
        </w:rPr>
        <w:t>5</w:t>
      </w:r>
      <w:r w:rsidR="000944E3" w:rsidRPr="009E08C5">
        <w:rPr>
          <w:rFonts w:ascii="Arial" w:hAnsi="Arial" w:cs="Arial"/>
        </w:rPr>
        <w:t xml:space="preserve">0 words). </w:t>
      </w:r>
      <w:proofErr w:type="gramStart"/>
      <w:r w:rsidR="000944E3" w:rsidRPr="009E08C5">
        <w:rPr>
          <w:rFonts w:ascii="Arial" w:hAnsi="Arial" w:cs="Arial"/>
        </w:rPr>
        <w:t>this</w:t>
      </w:r>
      <w:proofErr w:type="gramEnd"/>
      <w:r w:rsidR="000944E3" w:rsidRPr="009E08C5">
        <w:rPr>
          <w:rFonts w:ascii="Arial" w:hAnsi="Arial" w:cs="Arial"/>
        </w:rPr>
        <w:t xml:space="preserve"> section provides context to the brief information including problem statement, rationale or limitation of the previous studies, and the aim of study.</w:t>
      </w:r>
    </w:p>
    <w:p w:rsidR="00AE797F" w:rsidRPr="009E08C5" w:rsidRDefault="00AE797F" w:rsidP="00AE797F">
      <w:pPr>
        <w:spacing w:after="0" w:line="240" w:lineRule="auto"/>
        <w:jc w:val="both"/>
        <w:rPr>
          <w:rFonts w:ascii="Arial" w:hAnsi="Arial" w:cs="Arial"/>
          <w:lang w:val="id-ID"/>
        </w:rPr>
      </w:pPr>
      <w:r w:rsidRPr="009E08C5">
        <w:rPr>
          <w:rFonts w:ascii="Arial" w:hAnsi="Arial" w:cs="Arial"/>
          <w:b/>
          <w:lang w:val="id-ID"/>
        </w:rPr>
        <w:t>Methods:</w:t>
      </w:r>
      <w:r w:rsidRPr="009E08C5">
        <w:rPr>
          <w:rFonts w:ascii="Arial" w:hAnsi="Arial" w:cs="Arial"/>
          <w:lang w:val="id-ID"/>
        </w:rPr>
        <w:t xml:space="preserve"> </w:t>
      </w:r>
      <w:r w:rsidR="000944E3" w:rsidRPr="009E08C5">
        <w:rPr>
          <w:rFonts w:ascii="Arial" w:hAnsi="Arial" w:cs="Arial"/>
        </w:rPr>
        <w:t>this section consist the brief essential material and methods or procedures used in research study.</w:t>
      </w:r>
    </w:p>
    <w:p w:rsidR="000944E3" w:rsidRPr="009E08C5" w:rsidRDefault="00AE797F" w:rsidP="000944E3">
      <w:pPr>
        <w:pStyle w:val="Default"/>
        <w:spacing w:line="276" w:lineRule="auto"/>
        <w:jc w:val="both"/>
        <w:rPr>
          <w:rFonts w:ascii="Arial" w:hAnsi="Arial" w:cs="Arial"/>
          <w:sz w:val="22"/>
          <w:szCs w:val="22"/>
        </w:rPr>
      </w:pPr>
      <w:r w:rsidRPr="009E08C5">
        <w:rPr>
          <w:rFonts w:ascii="Arial" w:hAnsi="Arial" w:cs="Arial"/>
          <w:b/>
          <w:sz w:val="22"/>
          <w:szCs w:val="22"/>
        </w:rPr>
        <w:t>Results:</w:t>
      </w:r>
      <w:r w:rsidRPr="009E08C5">
        <w:rPr>
          <w:rFonts w:ascii="Arial" w:hAnsi="Arial" w:cs="Arial"/>
          <w:sz w:val="22"/>
          <w:szCs w:val="22"/>
        </w:rPr>
        <w:t xml:space="preserve"> </w:t>
      </w:r>
      <w:r w:rsidR="000944E3" w:rsidRPr="009E08C5">
        <w:rPr>
          <w:rFonts w:ascii="Arial" w:hAnsi="Arial" w:cs="Arial"/>
          <w:sz w:val="22"/>
          <w:szCs w:val="22"/>
        </w:rPr>
        <w:t xml:space="preserve">this section consist the summary of the most important results that obtained from study. The information need to be clear and straightforward. </w:t>
      </w:r>
    </w:p>
    <w:p w:rsidR="00AE797F" w:rsidRPr="009E08C5" w:rsidRDefault="00AE797F" w:rsidP="00AE797F">
      <w:pPr>
        <w:spacing w:after="0" w:line="240" w:lineRule="auto"/>
        <w:jc w:val="both"/>
        <w:rPr>
          <w:rFonts w:ascii="Arial" w:hAnsi="Arial" w:cs="Arial"/>
          <w:lang w:val="id-ID"/>
        </w:rPr>
      </w:pPr>
      <w:r w:rsidRPr="009E08C5">
        <w:rPr>
          <w:rFonts w:ascii="Arial" w:hAnsi="Arial" w:cs="Arial"/>
          <w:b/>
          <w:lang w:val="id-ID"/>
        </w:rPr>
        <w:t>Conclusion:</w:t>
      </w:r>
      <w:r w:rsidRPr="009E08C5">
        <w:rPr>
          <w:rFonts w:ascii="Arial" w:hAnsi="Arial" w:cs="Arial"/>
          <w:lang w:val="id-ID"/>
        </w:rPr>
        <w:t xml:space="preserve"> </w:t>
      </w:r>
      <w:r w:rsidR="000944E3" w:rsidRPr="009E08C5">
        <w:rPr>
          <w:rFonts w:ascii="Arial" w:hAnsi="Arial" w:cs="Arial"/>
        </w:rPr>
        <w:t>this section contained explanation about the experimental results and/or the results fit into bigger picture</w:t>
      </w:r>
      <w:r w:rsidR="000944E3" w:rsidRPr="009E08C5">
        <w:rPr>
          <w:rFonts w:ascii="Arial" w:hAnsi="Arial" w:cs="Arial"/>
          <w:lang w:val="id-ID"/>
        </w:rPr>
        <w:t>.</w:t>
      </w:r>
    </w:p>
    <w:p w:rsidR="00AE797F" w:rsidRPr="009E08C5" w:rsidRDefault="00AE797F"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r w:rsidRPr="009E08C5">
        <w:rPr>
          <w:rFonts w:ascii="Arial" w:hAnsi="Arial" w:cs="Arial"/>
          <w:b/>
          <w:lang w:val="id-ID"/>
        </w:rPr>
        <w:t>Keywords:</w:t>
      </w:r>
      <w:r w:rsidRPr="009E08C5">
        <w:rPr>
          <w:rFonts w:ascii="Arial" w:hAnsi="Arial" w:cs="Arial"/>
          <w:lang w:val="id-ID"/>
        </w:rPr>
        <w:t xml:space="preserve"> </w:t>
      </w:r>
      <w:r w:rsidR="00F26707" w:rsidRPr="009E08C5">
        <w:rPr>
          <w:rFonts w:ascii="Arial" w:hAnsi="Arial" w:cs="Arial"/>
          <w:lang w:val="id-ID"/>
        </w:rPr>
        <w:t>s</w:t>
      </w:r>
      <w:r w:rsidRPr="009E08C5">
        <w:rPr>
          <w:rFonts w:ascii="Arial" w:hAnsi="Arial" w:cs="Arial"/>
          <w:lang w:val="id-ID"/>
        </w:rPr>
        <w:t>tress ulcer prophylaxis, overuse, stress ulcer, drug costs.</w:t>
      </w:r>
    </w:p>
    <w:p w:rsidR="00AE797F" w:rsidRPr="009E08C5" w:rsidRDefault="00AE797F" w:rsidP="00AE797F">
      <w:pPr>
        <w:spacing w:after="0" w:line="240" w:lineRule="auto"/>
        <w:rPr>
          <w:rFonts w:ascii="Arial" w:hAnsi="Arial" w:cs="Arial"/>
          <w:lang w:val="id-ID"/>
        </w:rPr>
      </w:pPr>
    </w:p>
    <w:p w:rsidR="00AE797F" w:rsidRPr="009E08C5" w:rsidRDefault="00AE797F" w:rsidP="00AE797F">
      <w:pPr>
        <w:spacing w:after="0" w:line="240" w:lineRule="auto"/>
        <w:rPr>
          <w:rFonts w:ascii="Arial" w:hAnsi="Arial" w:cs="Arial"/>
          <w:lang w:val="id-ID"/>
        </w:rPr>
      </w:pPr>
      <w:r w:rsidRPr="009E08C5">
        <w:rPr>
          <w:rFonts w:ascii="Arial" w:hAnsi="Arial" w:cs="Arial"/>
          <w:lang w:val="id-ID"/>
        </w:rPr>
        <w:t>Corresponding Author:</w:t>
      </w:r>
    </w:p>
    <w:p w:rsidR="00AE797F" w:rsidRPr="009E08C5" w:rsidRDefault="00AE797F" w:rsidP="00AE797F">
      <w:pPr>
        <w:spacing w:after="0" w:line="240" w:lineRule="auto"/>
        <w:rPr>
          <w:rFonts w:ascii="Arial" w:hAnsi="Arial" w:cs="Arial"/>
          <w:lang w:val="id-ID"/>
        </w:rPr>
      </w:pPr>
      <w:r w:rsidRPr="009E08C5">
        <w:rPr>
          <w:rFonts w:ascii="Arial" w:hAnsi="Arial" w:cs="Arial"/>
          <w:lang w:val="id-ID"/>
        </w:rPr>
        <w:t>Suharjono</w:t>
      </w:r>
    </w:p>
    <w:p w:rsidR="00AE797F" w:rsidRPr="009E08C5" w:rsidRDefault="00AE797F" w:rsidP="00AE797F">
      <w:pPr>
        <w:spacing w:after="0" w:line="240" w:lineRule="auto"/>
        <w:rPr>
          <w:rFonts w:ascii="Arial" w:hAnsi="Arial" w:cs="Arial"/>
          <w:lang w:val="id-ID"/>
        </w:rPr>
      </w:pPr>
      <w:r w:rsidRPr="009E08C5">
        <w:rPr>
          <w:rFonts w:ascii="Arial" w:hAnsi="Arial" w:cs="Arial"/>
          <w:lang w:val="id-ID"/>
        </w:rPr>
        <w:t>Department of Clinical Pharmacy, Faculty of Pharmacy, University of Airlangga, Surabaya, Indonesia</w:t>
      </w:r>
    </w:p>
    <w:p w:rsidR="00AE797F" w:rsidRPr="009E08C5" w:rsidRDefault="00AE797F" w:rsidP="00AE797F">
      <w:pPr>
        <w:spacing w:after="0" w:line="240" w:lineRule="auto"/>
        <w:rPr>
          <w:rFonts w:ascii="Arial" w:hAnsi="Arial" w:cs="Arial"/>
          <w:lang w:val="id-ID"/>
        </w:rPr>
      </w:pPr>
      <w:r w:rsidRPr="009E08C5">
        <w:rPr>
          <w:rFonts w:ascii="Arial" w:hAnsi="Arial" w:cs="Arial"/>
          <w:lang w:val="id-ID"/>
        </w:rPr>
        <w:t>Kampus C, UNAIR. Jl. Mulyerejo, Surabaya, 60115</w:t>
      </w:r>
    </w:p>
    <w:p w:rsidR="00DF6E52" w:rsidRPr="009E08C5" w:rsidRDefault="00AE797F" w:rsidP="00AE797F">
      <w:pPr>
        <w:spacing w:after="0" w:line="240" w:lineRule="auto"/>
        <w:rPr>
          <w:rFonts w:ascii="Arial" w:hAnsi="Arial" w:cs="Arial"/>
          <w:lang w:val="id-ID"/>
        </w:rPr>
      </w:pPr>
      <w:r w:rsidRPr="009E08C5">
        <w:rPr>
          <w:rFonts w:ascii="Arial" w:hAnsi="Arial" w:cs="Arial"/>
          <w:lang w:val="id-ID"/>
        </w:rPr>
        <w:t xml:space="preserve">Email: </w:t>
      </w:r>
      <w:hyperlink r:id="rId5" w:history="1">
        <w:r w:rsidR="00003BA4" w:rsidRPr="009E08C5">
          <w:rPr>
            <w:rStyle w:val="Hyperlink"/>
            <w:rFonts w:ascii="Arial" w:hAnsi="Arial" w:cs="Arial"/>
            <w:lang w:val="id-ID"/>
          </w:rPr>
          <w:t>suhardjono@ff.unair.ac.id</w:t>
        </w:r>
      </w:hyperlink>
    </w:p>
    <w:p w:rsidR="00003BA4" w:rsidRPr="009E08C5" w:rsidRDefault="00003BA4" w:rsidP="00AE797F">
      <w:pPr>
        <w:spacing w:after="0" w:line="240" w:lineRule="auto"/>
        <w:rPr>
          <w:rFonts w:ascii="Arial" w:hAnsi="Arial" w:cs="Arial"/>
          <w:lang w:val="id-ID"/>
        </w:rPr>
      </w:pPr>
    </w:p>
    <w:p w:rsidR="00A71561" w:rsidRPr="009E08C5" w:rsidRDefault="00A71561" w:rsidP="00AE797F">
      <w:pPr>
        <w:spacing w:after="0" w:line="240" w:lineRule="auto"/>
        <w:rPr>
          <w:rFonts w:ascii="Arial" w:hAnsi="Arial" w:cs="Arial"/>
          <w:lang w:val="id-ID"/>
        </w:rPr>
      </w:pPr>
      <w:r w:rsidRPr="009E08C5">
        <w:rPr>
          <w:rFonts w:ascii="Arial" w:hAnsi="Arial" w:cs="Arial"/>
          <w:b/>
          <w:lang w:val="id-ID"/>
        </w:rPr>
        <w:t>Running Head :</w:t>
      </w:r>
      <w:r w:rsidRPr="009E08C5">
        <w:rPr>
          <w:rFonts w:ascii="Arial" w:hAnsi="Arial" w:cs="Arial"/>
          <w:lang w:val="id-ID"/>
        </w:rPr>
        <w:t xml:space="preserve"> </w:t>
      </w:r>
      <w:r w:rsidRPr="009E08C5">
        <w:rPr>
          <w:rFonts w:ascii="Arial" w:hAnsi="Arial" w:cs="Arial"/>
          <w:color w:val="FF0000"/>
          <w:lang w:val="id-ID"/>
        </w:rPr>
        <w:t>Please provide short title of manuscript (maximum 10 words)</w:t>
      </w: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003BA4" w:rsidRPr="009E08C5" w:rsidRDefault="00003BA4" w:rsidP="00AE797F">
      <w:pPr>
        <w:spacing w:after="0" w:line="240" w:lineRule="auto"/>
        <w:rPr>
          <w:rFonts w:ascii="Arial" w:hAnsi="Arial" w:cs="Arial"/>
          <w:lang w:val="id-ID"/>
        </w:rPr>
      </w:pPr>
    </w:p>
    <w:p w:rsidR="00622688" w:rsidRPr="009E08C5" w:rsidRDefault="00622688" w:rsidP="009E08C5">
      <w:pPr>
        <w:spacing w:after="0" w:line="480" w:lineRule="auto"/>
        <w:jc w:val="center"/>
        <w:rPr>
          <w:rFonts w:ascii="Arial" w:hAnsi="Arial" w:cs="Arial"/>
          <w:b/>
          <w:bCs/>
          <w:lang w:val="id-ID"/>
        </w:rPr>
      </w:pPr>
      <w:r w:rsidRPr="009E08C5">
        <w:rPr>
          <w:rFonts w:ascii="Arial" w:hAnsi="Arial" w:cs="Arial"/>
          <w:b/>
          <w:bCs/>
          <w:lang w:val="id-ID"/>
        </w:rPr>
        <w:t>Analysis of the use and cost of stress ulcer prophylaxis for surgical inpatients (maximum 50 words)</w:t>
      </w:r>
    </w:p>
    <w:p w:rsidR="00447B9F" w:rsidRPr="009E08C5" w:rsidRDefault="00447B9F" w:rsidP="009E08C5">
      <w:pPr>
        <w:spacing w:line="480" w:lineRule="auto"/>
        <w:rPr>
          <w:rFonts w:ascii="Arial" w:hAnsi="Arial" w:cs="Arial"/>
          <w:b/>
          <w:lang w:val="id-ID"/>
        </w:rPr>
      </w:pPr>
    </w:p>
    <w:p w:rsidR="00003BA4" w:rsidRPr="009E08C5" w:rsidRDefault="00003BA4" w:rsidP="009E08C5">
      <w:pPr>
        <w:spacing w:line="480" w:lineRule="auto"/>
        <w:rPr>
          <w:rFonts w:ascii="Arial" w:hAnsi="Arial" w:cs="Arial"/>
          <w:b/>
        </w:rPr>
      </w:pPr>
      <w:r w:rsidRPr="009E08C5">
        <w:rPr>
          <w:rFonts w:ascii="Arial" w:hAnsi="Arial" w:cs="Arial"/>
          <w:b/>
        </w:rPr>
        <w:t>Introduction</w:t>
      </w:r>
    </w:p>
    <w:p w:rsidR="00003BA4" w:rsidRPr="009E08C5" w:rsidRDefault="00003BA4" w:rsidP="009E08C5">
      <w:pPr>
        <w:spacing w:line="480" w:lineRule="auto"/>
        <w:jc w:val="both"/>
        <w:rPr>
          <w:rFonts w:ascii="Arial" w:hAnsi="Arial" w:cs="Arial"/>
        </w:rPr>
      </w:pPr>
      <w:r w:rsidRPr="009E08C5">
        <w:rPr>
          <w:rFonts w:ascii="Arial" w:hAnsi="Arial" w:cs="Arial"/>
        </w:rPr>
        <w:t>Stress ulcer is damage to the gastric mucosa in critically ill patients or patients with severe trauma, which is characterized by acute bleeding or perforation of the upper gastrointestinal tract</w:t>
      </w:r>
      <w:r w:rsidRPr="009E08C5">
        <w:rPr>
          <w:rFonts w:ascii="Arial" w:hAnsi="Arial" w:cs="Arial"/>
          <w:lang w:val="id-ID"/>
        </w:rPr>
        <w:t xml:space="preserve"> [1]</w:t>
      </w:r>
      <w:r w:rsidRPr="009E08C5">
        <w:rPr>
          <w:rFonts w:ascii="Arial" w:hAnsi="Arial" w:cs="Arial"/>
        </w:rPr>
        <w:t>. The damage is in the form of lesions that can cause complications in the form of massive bleeding in patients [2]. The bleeding can increase the morbidity and mortality of patients.</w:t>
      </w:r>
    </w:p>
    <w:p w:rsidR="00003BA4" w:rsidRPr="009E08C5" w:rsidRDefault="00003BA4" w:rsidP="009E08C5">
      <w:pPr>
        <w:spacing w:line="480" w:lineRule="auto"/>
        <w:ind w:firstLine="720"/>
        <w:jc w:val="both"/>
        <w:rPr>
          <w:rFonts w:ascii="Arial" w:hAnsi="Arial" w:cs="Arial"/>
        </w:rPr>
      </w:pPr>
      <w:r w:rsidRPr="009E08C5">
        <w:rPr>
          <w:rFonts w:ascii="Arial" w:hAnsi="Arial" w:cs="Arial"/>
          <w:shd w:val="clear" w:color="auto" w:fill="F8F9FA"/>
        </w:rPr>
        <w:t xml:space="preserve">Stress ulcer prophylaxis (SUP) is given to prevent mucosal bleeding in the upper gastrointestinal tract associated with </w:t>
      </w:r>
      <w:proofErr w:type="gramStart"/>
      <w:r w:rsidRPr="009E08C5">
        <w:rPr>
          <w:rFonts w:ascii="Arial" w:hAnsi="Arial" w:cs="Arial"/>
          <w:shd w:val="clear" w:color="auto" w:fill="F8F9FA"/>
        </w:rPr>
        <w:t>stress</w:t>
      </w:r>
      <w:r w:rsidRPr="009E08C5">
        <w:rPr>
          <w:rFonts w:ascii="Arial" w:hAnsi="Arial" w:cs="Arial"/>
          <w:shd w:val="clear" w:color="auto" w:fill="F8F9FA"/>
          <w:lang w:val="id-ID"/>
        </w:rPr>
        <w:t>[</w:t>
      </w:r>
      <w:proofErr w:type="gramEnd"/>
      <w:r w:rsidRPr="009E08C5">
        <w:rPr>
          <w:rFonts w:ascii="Arial" w:hAnsi="Arial" w:cs="Arial"/>
          <w:shd w:val="clear" w:color="auto" w:fill="F8F9FA"/>
          <w:lang w:val="id-ID"/>
        </w:rPr>
        <w:t>3]</w:t>
      </w:r>
      <w:r w:rsidRPr="009E08C5">
        <w:rPr>
          <w:rFonts w:ascii="Arial" w:hAnsi="Arial" w:cs="Arial"/>
          <w:shd w:val="clear" w:color="auto" w:fill="F8F9FA"/>
        </w:rPr>
        <w:t xml:space="preserve">. Pharmacological drugs such as the proton-pump inhibitor (PPI) group, histamine 2-receptor antagonist (H2RA), and protective gastric mucosa drugs such as </w:t>
      </w:r>
      <w:proofErr w:type="spellStart"/>
      <w:r w:rsidRPr="009E08C5">
        <w:rPr>
          <w:rFonts w:ascii="Arial" w:hAnsi="Arial" w:cs="Arial"/>
          <w:shd w:val="clear" w:color="auto" w:fill="F8F9FA"/>
        </w:rPr>
        <w:t>sucralfate</w:t>
      </w:r>
      <w:proofErr w:type="spellEnd"/>
      <w:r w:rsidRPr="009E08C5">
        <w:rPr>
          <w:rFonts w:ascii="Arial" w:hAnsi="Arial" w:cs="Arial"/>
          <w:shd w:val="clear" w:color="auto" w:fill="F8F9FA"/>
        </w:rPr>
        <w:t xml:space="preserve"> can be used for therapy purposes as SUP [</w:t>
      </w:r>
      <w:r w:rsidRPr="009E08C5">
        <w:rPr>
          <w:rFonts w:ascii="Arial" w:hAnsi="Arial" w:cs="Arial"/>
          <w:shd w:val="clear" w:color="auto" w:fill="F8F9FA"/>
          <w:lang w:val="id-ID"/>
        </w:rPr>
        <w:t>4</w:t>
      </w:r>
      <w:r w:rsidRPr="009E08C5">
        <w:rPr>
          <w:rFonts w:ascii="Arial" w:hAnsi="Arial" w:cs="Arial"/>
          <w:shd w:val="clear" w:color="auto" w:fill="F8F9FA"/>
        </w:rPr>
        <w:t xml:space="preserve">]. </w:t>
      </w:r>
    </w:p>
    <w:p w:rsidR="00003BA4" w:rsidRPr="009E08C5" w:rsidRDefault="00003BA4" w:rsidP="009E08C5">
      <w:pPr>
        <w:spacing w:line="480" w:lineRule="auto"/>
        <w:ind w:firstLine="720"/>
        <w:jc w:val="both"/>
        <w:rPr>
          <w:rFonts w:ascii="Arial" w:hAnsi="Arial" w:cs="Arial"/>
        </w:rPr>
      </w:pPr>
      <w:r w:rsidRPr="009E08C5">
        <w:rPr>
          <w:rFonts w:ascii="Arial" w:hAnsi="Arial" w:cs="Arial"/>
        </w:rPr>
        <w:t xml:space="preserve">Overuse of SUP has some risks of adverse drug </w:t>
      </w:r>
      <w:proofErr w:type="gramStart"/>
      <w:r w:rsidRPr="009E08C5">
        <w:rPr>
          <w:rFonts w:ascii="Arial" w:hAnsi="Arial" w:cs="Arial"/>
        </w:rPr>
        <w:t>reactions(</w:t>
      </w:r>
      <w:proofErr w:type="gramEnd"/>
      <w:r w:rsidRPr="009E08C5">
        <w:rPr>
          <w:rFonts w:ascii="Arial" w:hAnsi="Arial" w:cs="Arial"/>
        </w:rPr>
        <w:t xml:space="preserve">ADRs) such as </w:t>
      </w:r>
      <w:proofErr w:type="spellStart"/>
      <w:r w:rsidRPr="009E08C5">
        <w:rPr>
          <w:rFonts w:ascii="Arial" w:hAnsi="Arial" w:cs="Arial"/>
        </w:rPr>
        <w:t>nosocomial</w:t>
      </w:r>
      <w:proofErr w:type="spellEnd"/>
      <w:r w:rsidRPr="009E08C5">
        <w:rPr>
          <w:rFonts w:ascii="Arial" w:hAnsi="Arial" w:cs="Arial"/>
        </w:rPr>
        <w:t xml:space="preserve"> pneumonia and </w:t>
      </w:r>
      <w:r w:rsidRPr="009E08C5">
        <w:rPr>
          <w:rFonts w:ascii="Arial" w:hAnsi="Arial" w:cs="Arial"/>
          <w:i/>
        </w:rPr>
        <w:t xml:space="preserve">Clostridium </w:t>
      </w:r>
      <w:proofErr w:type="spellStart"/>
      <w:r w:rsidRPr="009E08C5">
        <w:rPr>
          <w:rFonts w:ascii="Arial" w:hAnsi="Arial" w:cs="Arial"/>
          <w:i/>
        </w:rPr>
        <w:t>difficile</w:t>
      </w:r>
      <w:proofErr w:type="spellEnd"/>
      <w:r w:rsidRPr="009E08C5">
        <w:rPr>
          <w:rFonts w:ascii="Arial" w:hAnsi="Arial" w:cs="Arial"/>
        </w:rPr>
        <w:t xml:space="preserve"> infection</w:t>
      </w:r>
      <w:r w:rsidRPr="009E08C5">
        <w:rPr>
          <w:rFonts w:ascii="Arial" w:hAnsi="Arial" w:cs="Arial"/>
          <w:lang w:val="id-ID"/>
        </w:rPr>
        <w:t xml:space="preserve"> [6]</w:t>
      </w:r>
      <w:r w:rsidRPr="009E08C5">
        <w:rPr>
          <w:rFonts w:ascii="Arial" w:hAnsi="Arial" w:cs="Arial"/>
        </w:rPr>
        <w:t xml:space="preserve">. For the use of SUP, guidelines are needed to prevent overuse of SUP drugs that may cause ADRs. The American Society of Health-Systems Pharmacists (ASHP) in 1999 formulated guidelines related to the use of SUP. Those </w:t>
      </w:r>
      <w:proofErr w:type="spellStart"/>
      <w:r w:rsidRPr="009E08C5">
        <w:rPr>
          <w:rFonts w:ascii="Arial" w:hAnsi="Arial" w:cs="Arial"/>
        </w:rPr>
        <w:t>guidelinesare</w:t>
      </w:r>
      <w:proofErr w:type="spellEnd"/>
      <w:r w:rsidRPr="009E08C5">
        <w:rPr>
          <w:rFonts w:ascii="Arial" w:hAnsi="Arial" w:cs="Arial"/>
        </w:rPr>
        <w:t xml:space="preserve"> based on evidence of base medicines that are</w:t>
      </w:r>
      <w:r w:rsidRPr="009E08C5">
        <w:rPr>
          <w:rFonts w:ascii="Arial" w:hAnsi="Arial" w:cs="Arial"/>
          <w:lang w:val="id-ID"/>
        </w:rPr>
        <w:t xml:space="preserve"> </w:t>
      </w:r>
      <w:r w:rsidRPr="009E08C5">
        <w:rPr>
          <w:rFonts w:ascii="Arial" w:hAnsi="Arial" w:cs="Arial"/>
        </w:rPr>
        <w:t>systematically obtained and used in large quantities in reference to other SUP guidelines. The ASHP guidelines contain a clear description of the criteria for patients at risk for stress ulcers, drug choice, and duration of taking SUP</w:t>
      </w:r>
      <w:r w:rsidRPr="009E08C5">
        <w:rPr>
          <w:rFonts w:ascii="Arial" w:hAnsi="Arial" w:cs="Arial"/>
          <w:lang w:val="id-ID"/>
        </w:rPr>
        <w:t xml:space="preserve"> [7]</w:t>
      </w:r>
      <w:r w:rsidRPr="009E08C5">
        <w:rPr>
          <w:rFonts w:ascii="Arial" w:hAnsi="Arial" w:cs="Arial"/>
        </w:rPr>
        <w:t>.</w:t>
      </w:r>
    </w:p>
    <w:p w:rsidR="00003BA4" w:rsidRPr="009E08C5" w:rsidRDefault="00003BA4" w:rsidP="009E08C5">
      <w:pPr>
        <w:spacing w:line="480" w:lineRule="auto"/>
        <w:ind w:firstLine="720"/>
        <w:jc w:val="both"/>
        <w:rPr>
          <w:rFonts w:ascii="Arial" w:hAnsi="Arial" w:cs="Arial"/>
        </w:rPr>
      </w:pPr>
      <w:r w:rsidRPr="009E08C5">
        <w:rPr>
          <w:rFonts w:ascii="Arial" w:hAnsi="Arial" w:cs="Arial"/>
        </w:rPr>
        <w:t xml:space="preserve">Dr. </w:t>
      </w:r>
      <w:proofErr w:type="spellStart"/>
      <w:r w:rsidRPr="009E08C5">
        <w:rPr>
          <w:rFonts w:ascii="Arial" w:hAnsi="Arial" w:cs="Arial"/>
        </w:rPr>
        <w:t>Soetomo</w:t>
      </w:r>
      <w:proofErr w:type="spellEnd"/>
      <w:r w:rsidRPr="009E08C5">
        <w:rPr>
          <w:rFonts w:ascii="Arial" w:hAnsi="Arial" w:cs="Arial"/>
        </w:rPr>
        <w:t xml:space="preserve"> General Hospital is the major referral hospital in the eastern part of Indonesia. Patients who undergo surgical procedures are at risk of experiencing stress ulcers due to anxiety, stress, and </w:t>
      </w:r>
      <w:proofErr w:type="spellStart"/>
      <w:r w:rsidRPr="009E08C5">
        <w:rPr>
          <w:rFonts w:ascii="Arial" w:hAnsi="Arial" w:cs="Arial"/>
        </w:rPr>
        <w:t>trauma</w:t>
      </w:r>
      <w:proofErr w:type="gramStart"/>
      <w:r w:rsidRPr="009E08C5">
        <w:rPr>
          <w:rFonts w:ascii="Arial" w:hAnsi="Arial" w:cs="Arial"/>
        </w:rPr>
        <w:t>;therefore</w:t>
      </w:r>
      <w:proofErr w:type="spellEnd"/>
      <w:proofErr w:type="gramEnd"/>
      <w:r w:rsidRPr="009E08C5">
        <w:rPr>
          <w:rFonts w:ascii="Arial" w:hAnsi="Arial" w:cs="Arial"/>
        </w:rPr>
        <w:t xml:space="preserve">, they need stress ulcer therapy that is appropriate and not excessive [11]. Excessive prescription of SUP drugs will certainly burden patient costs during hospitalization. Therefore, SUP medicines must be given according to ASHP criteria in order to reduce patient care </w:t>
      </w:r>
      <w:proofErr w:type="spellStart"/>
      <w:proofErr w:type="gramStart"/>
      <w:r w:rsidRPr="009E08C5">
        <w:rPr>
          <w:rFonts w:ascii="Arial" w:hAnsi="Arial" w:cs="Arial"/>
        </w:rPr>
        <w:t>costs.However</w:t>
      </w:r>
      <w:proofErr w:type="spellEnd"/>
      <w:r w:rsidRPr="009E08C5">
        <w:rPr>
          <w:rFonts w:ascii="Arial" w:hAnsi="Arial" w:cs="Arial"/>
        </w:rPr>
        <w:t>,</w:t>
      </w:r>
      <w:proofErr w:type="gramEnd"/>
      <w:r w:rsidRPr="009E08C5">
        <w:rPr>
          <w:rFonts w:ascii="Arial" w:hAnsi="Arial" w:cs="Arial"/>
        </w:rPr>
        <w:t xml:space="preserve"> there are no </w:t>
      </w:r>
      <w:r w:rsidRPr="009E08C5">
        <w:rPr>
          <w:rFonts w:ascii="Arial" w:hAnsi="Arial" w:cs="Arial"/>
        </w:rPr>
        <w:lastRenderedPageBreak/>
        <w:t xml:space="preserve">studies that analyze the use of SUP drugs based on the ASHP criteria and drug costs of the overuse of SUP drugs among surgical inpatients of </w:t>
      </w:r>
      <w:proofErr w:type="spellStart"/>
      <w:r w:rsidRPr="009E08C5">
        <w:rPr>
          <w:rFonts w:ascii="Arial" w:hAnsi="Arial" w:cs="Arial"/>
        </w:rPr>
        <w:t>Dr.Soetomo</w:t>
      </w:r>
      <w:proofErr w:type="spellEnd"/>
      <w:r w:rsidRPr="009E08C5">
        <w:rPr>
          <w:rFonts w:ascii="Arial" w:hAnsi="Arial" w:cs="Arial"/>
        </w:rPr>
        <w:t xml:space="preserve"> General Hospital. Therefore, it is important to analyze the use of SUP drugs based on ASHP criteria and analyze the cost of the overuse of SUP drugs. This research was conducted to calculate the excess costs caused by overuse of SUP in Dr. </w:t>
      </w:r>
      <w:proofErr w:type="spellStart"/>
      <w:r w:rsidRPr="009E08C5">
        <w:rPr>
          <w:rFonts w:ascii="Arial" w:hAnsi="Arial" w:cs="Arial"/>
        </w:rPr>
        <w:t>Soetomo</w:t>
      </w:r>
      <w:proofErr w:type="spellEnd"/>
      <w:r w:rsidRPr="009E08C5">
        <w:rPr>
          <w:rFonts w:ascii="Arial" w:hAnsi="Arial" w:cs="Arial"/>
        </w:rPr>
        <w:t xml:space="preserve"> General Hospital, which may best representing the general condition in Indonesia.</w:t>
      </w:r>
    </w:p>
    <w:p w:rsidR="00003BA4" w:rsidRPr="009E08C5" w:rsidRDefault="00003BA4" w:rsidP="009E08C5">
      <w:pPr>
        <w:spacing w:line="480" w:lineRule="auto"/>
        <w:ind w:firstLine="720"/>
        <w:jc w:val="both"/>
        <w:rPr>
          <w:rFonts w:ascii="Arial" w:hAnsi="Arial" w:cs="Arial"/>
        </w:rPr>
      </w:pPr>
    </w:p>
    <w:p w:rsidR="00003BA4" w:rsidRPr="009E08C5" w:rsidRDefault="00003BA4" w:rsidP="009E08C5">
      <w:pPr>
        <w:spacing w:line="480" w:lineRule="auto"/>
        <w:jc w:val="both"/>
        <w:rPr>
          <w:rFonts w:ascii="Arial" w:hAnsi="Arial" w:cs="Arial"/>
          <w:b/>
        </w:rPr>
      </w:pPr>
      <w:r w:rsidRPr="009E08C5">
        <w:rPr>
          <w:rFonts w:ascii="Arial" w:hAnsi="Arial" w:cs="Arial"/>
          <w:b/>
        </w:rPr>
        <w:t>Materials and Methods</w:t>
      </w:r>
    </w:p>
    <w:p w:rsidR="00003BA4" w:rsidRPr="009E08C5" w:rsidRDefault="00003BA4" w:rsidP="009E08C5">
      <w:pPr>
        <w:spacing w:line="480" w:lineRule="auto"/>
        <w:jc w:val="both"/>
        <w:rPr>
          <w:rFonts w:ascii="Arial" w:hAnsi="Arial" w:cs="Arial"/>
        </w:rPr>
      </w:pPr>
      <w:r w:rsidRPr="009E08C5">
        <w:rPr>
          <w:rFonts w:ascii="Arial" w:hAnsi="Arial" w:cs="Arial"/>
        </w:rPr>
        <w:t xml:space="preserve">This study was designed to </w:t>
      </w:r>
      <w:proofErr w:type="gramStart"/>
      <w:r w:rsidRPr="009E08C5">
        <w:rPr>
          <w:rFonts w:ascii="Arial" w:hAnsi="Arial" w:cs="Arial"/>
        </w:rPr>
        <w:t>comply</w:t>
      </w:r>
      <w:proofErr w:type="gramEnd"/>
      <w:r w:rsidRPr="009E08C5">
        <w:rPr>
          <w:rFonts w:ascii="Arial" w:hAnsi="Arial" w:cs="Arial"/>
        </w:rPr>
        <w:t xml:space="preserve"> the criteria for ethical conduct and was approved by the Health Research Ethics Committee of Dr. </w:t>
      </w:r>
      <w:proofErr w:type="spellStart"/>
      <w:r w:rsidRPr="009E08C5">
        <w:rPr>
          <w:rFonts w:ascii="Arial" w:hAnsi="Arial" w:cs="Arial"/>
        </w:rPr>
        <w:t>Soetomo</w:t>
      </w:r>
      <w:proofErr w:type="spellEnd"/>
      <w:r w:rsidRPr="009E08C5">
        <w:rPr>
          <w:rFonts w:ascii="Arial" w:hAnsi="Arial" w:cs="Arial"/>
        </w:rPr>
        <w:t xml:space="preserve"> General Hospital,</w:t>
      </w:r>
      <w:r w:rsidR="00A71561" w:rsidRPr="009E08C5">
        <w:rPr>
          <w:rFonts w:ascii="Arial" w:hAnsi="Arial" w:cs="Arial"/>
          <w:lang w:val="id-ID"/>
        </w:rPr>
        <w:t xml:space="preserve"> </w:t>
      </w:r>
      <w:r w:rsidRPr="009E08C5">
        <w:rPr>
          <w:rFonts w:ascii="Arial" w:hAnsi="Arial" w:cs="Arial"/>
        </w:rPr>
        <w:t>with reference number 1121/KEPK/IV/2019. This research was conducted using a prospective observational method from</w:t>
      </w:r>
      <w:r w:rsidR="00A71561" w:rsidRPr="009E08C5">
        <w:rPr>
          <w:rFonts w:ascii="Arial" w:hAnsi="Arial" w:cs="Arial"/>
          <w:lang w:val="id-ID"/>
        </w:rPr>
        <w:t xml:space="preserve"> </w:t>
      </w:r>
      <w:r w:rsidRPr="009E08C5">
        <w:rPr>
          <w:rFonts w:ascii="Arial" w:hAnsi="Arial" w:cs="Arial"/>
        </w:rPr>
        <w:t>mid of April 24 to mid of May 2019 in the surgical</w:t>
      </w:r>
      <w:r w:rsidR="00A71561" w:rsidRPr="009E08C5">
        <w:rPr>
          <w:rFonts w:ascii="Arial" w:hAnsi="Arial" w:cs="Arial"/>
          <w:lang w:val="id-ID"/>
        </w:rPr>
        <w:t xml:space="preserve"> </w:t>
      </w:r>
      <w:r w:rsidRPr="009E08C5">
        <w:rPr>
          <w:rFonts w:ascii="Arial" w:hAnsi="Arial" w:cs="Arial"/>
        </w:rPr>
        <w:t xml:space="preserve">ward of Dr. </w:t>
      </w:r>
      <w:proofErr w:type="spellStart"/>
      <w:r w:rsidRPr="009E08C5">
        <w:rPr>
          <w:rFonts w:ascii="Arial" w:hAnsi="Arial" w:cs="Arial"/>
        </w:rPr>
        <w:t>Soetomo</w:t>
      </w:r>
      <w:proofErr w:type="spellEnd"/>
      <w:r w:rsidR="00A71561" w:rsidRPr="009E08C5">
        <w:rPr>
          <w:rFonts w:ascii="Arial" w:hAnsi="Arial" w:cs="Arial"/>
          <w:lang w:val="id-ID"/>
        </w:rPr>
        <w:t xml:space="preserve"> </w:t>
      </w:r>
      <w:r w:rsidRPr="009E08C5">
        <w:rPr>
          <w:rFonts w:ascii="Arial" w:hAnsi="Arial" w:cs="Arial"/>
        </w:rPr>
        <w:t>General Hospital. This study involved</w:t>
      </w:r>
      <w:r w:rsidR="00A71561" w:rsidRPr="009E08C5">
        <w:rPr>
          <w:rFonts w:ascii="Arial" w:hAnsi="Arial" w:cs="Arial"/>
          <w:lang w:val="id-ID"/>
        </w:rPr>
        <w:t xml:space="preserve"> </w:t>
      </w:r>
      <w:r w:rsidRPr="009E08C5">
        <w:rPr>
          <w:rFonts w:ascii="Arial" w:hAnsi="Arial" w:cs="Arial"/>
        </w:rPr>
        <w:t>medical observations on the use of ulcer drugs by surgical patients who had been given prescriptions by doctors.</w:t>
      </w:r>
    </w:p>
    <w:p w:rsidR="00003BA4" w:rsidRPr="009E08C5" w:rsidRDefault="00003BA4" w:rsidP="009E08C5">
      <w:pPr>
        <w:spacing w:line="480" w:lineRule="auto"/>
        <w:ind w:firstLine="720"/>
        <w:jc w:val="both"/>
        <w:rPr>
          <w:rFonts w:ascii="Arial" w:hAnsi="Arial" w:cs="Arial"/>
        </w:rPr>
      </w:pPr>
      <w:r w:rsidRPr="009E08C5">
        <w:rPr>
          <w:rFonts w:ascii="Arial" w:hAnsi="Arial" w:cs="Arial"/>
        </w:rPr>
        <w:t>The use of SUP is assessed based on ASHP criteria.</w:t>
      </w:r>
      <w:r w:rsidR="00A71561" w:rsidRPr="009E08C5">
        <w:rPr>
          <w:rFonts w:ascii="Arial" w:hAnsi="Arial" w:cs="Arial"/>
          <w:lang w:val="id-ID"/>
        </w:rPr>
        <w:t xml:space="preserve"> </w:t>
      </w:r>
      <w:r w:rsidRPr="009E08C5">
        <w:rPr>
          <w:rFonts w:ascii="Arial" w:eastAsia="Calibri" w:hAnsi="Arial" w:cs="Arial"/>
        </w:rPr>
        <w:t xml:space="preserve">Briefly, </w:t>
      </w:r>
      <w:r w:rsidRPr="009E08C5">
        <w:rPr>
          <w:rFonts w:ascii="Arial" w:hAnsi="Arial" w:cs="Arial"/>
        </w:rPr>
        <w:t xml:space="preserve">the use of SUP is declared appropriate and not excessive if it has 1 absolute indication or ≥ 2 relative indications. Absolute indications include patients with </w:t>
      </w:r>
      <w:proofErr w:type="spellStart"/>
      <w:r w:rsidRPr="009E08C5">
        <w:rPr>
          <w:rFonts w:ascii="Arial" w:hAnsi="Arial" w:cs="Arial"/>
        </w:rPr>
        <w:t>coagulopathy</w:t>
      </w:r>
      <w:proofErr w:type="spellEnd"/>
      <w:r w:rsidRPr="009E08C5">
        <w:rPr>
          <w:rFonts w:ascii="Arial" w:hAnsi="Arial" w:cs="Arial"/>
        </w:rPr>
        <w:t xml:space="preserve"> and/or using mechanical ventilation&gt; 48 hours. Relative indications include </w:t>
      </w:r>
      <w:r w:rsidRPr="009E08C5">
        <w:rPr>
          <w:rStyle w:val="Emphasis"/>
          <w:rFonts w:ascii="Arial" w:hAnsi="Arial" w:cs="Arial"/>
          <w:bCs/>
          <w:shd w:val="clear" w:color="auto" w:fill="FFFFFF"/>
        </w:rPr>
        <w:t>Glasgow Coma Scale</w:t>
      </w:r>
      <w:r w:rsidRPr="009E08C5">
        <w:rPr>
          <w:rFonts w:ascii="Arial" w:hAnsi="Arial" w:cs="Arial"/>
        </w:rPr>
        <w:t xml:space="preserve"> (GCS) head injury of patients ≤ 10, burns&gt; 35%, partial </w:t>
      </w:r>
      <w:proofErr w:type="spellStart"/>
      <w:r w:rsidRPr="009E08C5">
        <w:rPr>
          <w:rFonts w:ascii="Arial" w:hAnsi="Arial" w:cs="Arial"/>
        </w:rPr>
        <w:t>hepatectomy</w:t>
      </w:r>
      <w:proofErr w:type="spellEnd"/>
      <w:r w:rsidRPr="009E08C5">
        <w:rPr>
          <w:rFonts w:ascii="Arial" w:hAnsi="Arial" w:cs="Arial"/>
        </w:rPr>
        <w:t>, liver or kidney transplantation, multiple trauma Injury Severity Score (ISS) ≥ 16, spinal cord injury, impaired liver function, history of gastric ulcer or gastrointestinal bleeding &lt; 1 year before hospitalization, sepsis, ICU stay&gt; 1 week, bleeding ≥ 6 days, use of high-dose corticosteroids, and kidney disorders (</w:t>
      </w:r>
      <w:proofErr w:type="spellStart"/>
      <w:r w:rsidRPr="009E08C5">
        <w:rPr>
          <w:rFonts w:ascii="Arial" w:hAnsi="Arial" w:cs="Arial"/>
        </w:rPr>
        <w:t>creatinine</w:t>
      </w:r>
      <w:proofErr w:type="spellEnd"/>
      <w:r w:rsidRPr="009E08C5">
        <w:rPr>
          <w:rFonts w:ascii="Arial" w:hAnsi="Arial" w:cs="Arial"/>
        </w:rPr>
        <w:t xml:space="preserve"> clearance &lt;40 </w:t>
      </w:r>
      <w:proofErr w:type="spellStart"/>
      <w:r w:rsidRPr="009E08C5">
        <w:rPr>
          <w:rFonts w:ascii="Arial" w:hAnsi="Arial" w:cs="Arial"/>
        </w:rPr>
        <w:t>mL</w:t>
      </w:r>
      <w:proofErr w:type="spellEnd"/>
      <w:r w:rsidRPr="009E08C5">
        <w:rPr>
          <w:rFonts w:ascii="Arial" w:hAnsi="Arial" w:cs="Arial"/>
        </w:rPr>
        <w:t xml:space="preserve">/min or </w:t>
      </w:r>
      <w:proofErr w:type="spellStart"/>
      <w:r w:rsidRPr="009E08C5">
        <w:rPr>
          <w:rFonts w:ascii="Arial" w:hAnsi="Arial" w:cs="Arial"/>
        </w:rPr>
        <w:t>creatinine</w:t>
      </w:r>
      <w:proofErr w:type="spellEnd"/>
      <w:r w:rsidRPr="009E08C5">
        <w:rPr>
          <w:rFonts w:ascii="Arial" w:hAnsi="Arial" w:cs="Arial"/>
        </w:rPr>
        <w:t>&gt; 2.8 mg/</w:t>
      </w:r>
      <w:proofErr w:type="spellStart"/>
      <w:r w:rsidRPr="009E08C5">
        <w:rPr>
          <w:rFonts w:ascii="Arial" w:hAnsi="Arial" w:cs="Arial"/>
        </w:rPr>
        <w:t>dL</w:t>
      </w:r>
      <w:proofErr w:type="spellEnd"/>
      <w:r w:rsidRPr="009E08C5">
        <w:rPr>
          <w:rFonts w:ascii="Arial" w:hAnsi="Arial" w:cs="Arial"/>
        </w:rPr>
        <w:t>). An assessment of the accuracy of indications and route of drug administration was performed.</w:t>
      </w:r>
    </w:p>
    <w:p w:rsidR="00003BA4" w:rsidRPr="009E08C5" w:rsidRDefault="00003BA4" w:rsidP="009E08C5">
      <w:pPr>
        <w:spacing w:line="480" w:lineRule="auto"/>
        <w:jc w:val="both"/>
        <w:rPr>
          <w:rFonts w:ascii="Arial" w:eastAsia="Calibri" w:hAnsi="Arial" w:cs="Arial"/>
          <w:b/>
          <w:lang w:val="id-ID"/>
        </w:rPr>
      </w:pPr>
    </w:p>
    <w:p w:rsidR="00003BA4" w:rsidRPr="009E08C5" w:rsidRDefault="00003BA4" w:rsidP="009E08C5">
      <w:pPr>
        <w:spacing w:line="480" w:lineRule="auto"/>
        <w:jc w:val="both"/>
        <w:rPr>
          <w:rFonts w:ascii="Arial" w:eastAsia="Calibri" w:hAnsi="Arial" w:cs="Arial"/>
          <w:b/>
        </w:rPr>
      </w:pPr>
      <w:r w:rsidRPr="009E08C5">
        <w:rPr>
          <w:rFonts w:ascii="Arial" w:eastAsia="Calibri" w:hAnsi="Arial" w:cs="Arial"/>
          <w:b/>
        </w:rPr>
        <w:t>Results</w:t>
      </w:r>
    </w:p>
    <w:p w:rsidR="00003BA4" w:rsidRPr="009E08C5" w:rsidRDefault="00003BA4" w:rsidP="009E08C5">
      <w:pPr>
        <w:spacing w:line="480" w:lineRule="auto"/>
        <w:jc w:val="both"/>
        <w:rPr>
          <w:rFonts w:ascii="Arial" w:hAnsi="Arial" w:cs="Arial"/>
        </w:rPr>
      </w:pPr>
      <w:r w:rsidRPr="009E08C5">
        <w:rPr>
          <w:rFonts w:ascii="Arial" w:hAnsi="Arial" w:cs="Arial"/>
        </w:rPr>
        <w:lastRenderedPageBreak/>
        <w:t>Demographic data include gender, age, length of stay at the Surgical Inpatient Installation, and the reason for patient discharge. Male patients were more dominant than female ones, with the percentage being 55.26%. Of the sample of patients</w:t>
      </w:r>
      <w:proofErr w:type="gramStart"/>
      <w:r w:rsidRPr="009E08C5">
        <w:rPr>
          <w:rFonts w:ascii="Arial" w:hAnsi="Arial" w:cs="Arial"/>
        </w:rPr>
        <w:t>,52.63</w:t>
      </w:r>
      <w:proofErr w:type="gramEnd"/>
      <w:r w:rsidRPr="009E08C5">
        <w:rPr>
          <w:rFonts w:ascii="Arial" w:hAnsi="Arial" w:cs="Arial"/>
        </w:rPr>
        <w:t xml:space="preserve">% </w:t>
      </w:r>
      <w:proofErr w:type="spellStart"/>
      <w:r w:rsidRPr="009E08C5">
        <w:rPr>
          <w:rFonts w:ascii="Arial" w:hAnsi="Arial" w:cs="Arial"/>
        </w:rPr>
        <w:t>hadages</w:t>
      </w:r>
      <w:proofErr w:type="spellEnd"/>
      <w:r w:rsidRPr="009E08C5">
        <w:rPr>
          <w:rFonts w:ascii="Arial" w:hAnsi="Arial" w:cs="Arial"/>
        </w:rPr>
        <w:t xml:space="preserve"> from 40-64 years, while patients of ages &lt;40 years and ≥ 65 years amounted to 34.21% and 13.16% of the total sample, respectively. Patients treated for&gt; 7 days amounted to 55.26%, and the rest were treated ≤ 7 days (Table 1).</w:t>
      </w:r>
    </w:p>
    <w:p w:rsidR="00003BA4" w:rsidRPr="009E08C5" w:rsidRDefault="00003BA4" w:rsidP="009E08C5">
      <w:pPr>
        <w:spacing w:line="480" w:lineRule="auto"/>
        <w:ind w:firstLine="720"/>
        <w:jc w:val="both"/>
        <w:rPr>
          <w:rFonts w:ascii="Arial" w:hAnsi="Arial" w:cs="Arial"/>
        </w:rPr>
      </w:pPr>
      <w:r w:rsidRPr="009E08C5">
        <w:rPr>
          <w:rFonts w:ascii="Arial" w:hAnsi="Arial" w:cs="Arial"/>
        </w:rPr>
        <w:t>In this study, the number of drugs refers to</w:t>
      </w:r>
      <w:r w:rsidRPr="009E08C5">
        <w:rPr>
          <w:rFonts w:ascii="Arial" w:hAnsi="Arial" w:cs="Arial"/>
          <w:lang w:val="id-ID"/>
        </w:rPr>
        <w:t xml:space="preserve"> </w:t>
      </w:r>
      <w:r w:rsidRPr="009E08C5">
        <w:rPr>
          <w:rFonts w:ascii="Arial" w:hAnsi="Arial" w:cs="Arial"/>
        </w:rPr>
        <w:t>dispensed</w:t>
      </w:r>
      <w:r w:rsidRPr="009E08C5">
        <w:rPr>
          <w:rFonts w:ascii="Arial" w:hAnsi="Arial" w:cs="Arial"/>
          <w:lang w:val="id-ID"/>
        </w:rPr>
        <w:t xml:space="preserve"> </w:t>
      </w:r>
      <w:r w:rsidRPr="009E08C5">
        <w:rPr>
          <w:rFonts w:ascii="Arial" w:hAnsi="Arial" w:cs="Arial"/>
        </w:rPr>
        <w:t xml:space="preserve">unit doses, where 1 unit dose of ranitidine injection is the use of a 50 mg/2 </w:t>
      </w:r>
      <w:proofErr w:type="spellStart"/>
      <w:r w:rsidRPr="009E08C5">
        <w:rPr>
          <w:rFonts w:ascii="Arial" w:hAnsi="Arial" w:cs="Arial"/>
        </w:rPr>
        <w:t>mL</w:t>
      </w:r>
      <w:proofErr w:type="spellEnd"/>
      <w:r w:rsidRPr="009E08C5">
        <w:rPr>
          <w:rFonts w:ascii="Arial" w:hAnsi="Arial" w:cs="Arial"/>
        </w:rPr>
        <w:t xml:space="preserve"> ranitidine ampoule, 1 unit dose of ranitidine tablet is the use of a 50 mg ranitidine tablet, 1 unit dose of </w:t>
      </w:r>
      <w:proofErr w:type="spellStart"/>
      <w:r w:rsidRPr="009E08C5">
        <w:rPr>
          <w:rFonts w:ascii="Arial" w:hAnsi="Arial" w:cs="Arial"/>
        </w:rPr>
        <w:t>omeprazole</w:t>
      </w:r>
      <w:proofErr w:type="spellEnd"/>
      <w:r w:rsidRPr="009E08C5">
        <w:rPr>
          <w:rFonts w:ascii="Arial" w:hAnsi="Arial" w:cs="Arial"/>
        </w:rPr>
        <w:t xml:space="preserve"> injection is the use of a 40 mg/10 </w:t>
      </w:r>
      <w:proofErr w:type="spellStart"/>
      <w:r w:rsidRPr="009E08C5">
        <w:rPr>
          <w:rFonts w:ascii="Arial" w:hAnsi="Arial" w:cs="Arial"/>
        </w:rPr>
        <w:t>mL</w:t>
      </w:r>
      <w:proofErr w:type="spellEnd"/>
      <w:r w:rsidRPr="009E08C5">
        <w:rPr>
          <w:rFonts w:ascii="Arial" w:hAnsi="Arial" w:cs="Arial"/>
        </w:rPr>
        <w:t xml:space="preserve"> </w:t>
      </w:r>
      <w:proofErr w:type="spellStart"/>
      <w:r w:rsidRPr="009E08C5">
        <w:rPr>
          <w:rFonts w:ascii="Arial" w:hAnsi="Arial" w:cs="Arial"/>
        </w:rPr>
        <w:t>omeprazole</w:t>
      </w:r>
      <w:proofErr w:type="spellEnd"/>
      <w:r w:rsidRPr="009E08C5">
        <w:rPr>
          <w:rFonts w:ascii="Arial" w:hAnsi="Arial" w:cs="Arial"/>
        </w:rPr>
        <w:t xml:space="preserve"> vial, and 1 unit dose of </w:t>
      </w:r>
      <w:proofErr w:type="spellStart"/>
      <w:r w:rsidRPr="009E08C5">
        <w:rPr>
          <w:rFonts w:ascii="Arial" w:hAnsi="Arial" w:cs="Arial"/>
        </w:rPr>
        <w:t>sucralfate</w:t>
      </w:r>
      <w:proofErr w:type="spellEnd"/>
      <w:r w:rsidRPr="009E08C5">
        <w:rPr>
          <w:rFonts w:ascii="Arial" w:hAnsi="Arial" w:cs="Arial"/>
        </w:rPr>
        <w:t xml:space="preserve"> syrup is the use of 500 mg/5 </w:t>
      </w:r>
      <w:proofErr w:type="spellStart"/>
      <w:r w:rsidRPr="009E08C5">
        <w:rPr>
          <w:rFonts w:ascii="Arial" w:hAnsi="Arial" w:cs="Arial"/>
        </w:rPr>
        <w:t>mL</w:t>
      </w:r>
      <w:proofErr w:type="spellEnd"/>
      <w:r w:rsidRPr="009E08C5">
        <w:rPr>
          <w:rFonts w:ascii="Arial" w:hAnsi="Arial" w:cs="Arial"/>
        </w:rPr>
        <w:t xml:space="preserve"> of </w:t>
      </w:r>
      <w:proofErr w:type="spellStart"/>
      <w:r w:rsidRPr="009E08C5">
        <w:rPr>
          <w:rFonts w:ascii="Arial" w:hAnsi="Arial" w:cs="Arial"/>
        </w:rPr>
        <w:t>sucralfate</w:t>
      </w:r>
      <w:proofErr w:type="spellEnd"/>
      <w:r w:rsidRPr="009E08C5">
        <w:rPr>
          <w:rFonts w:ascii="Arial" w:hAnsi="Arial" w:cs="Arial"/>
        </w:rPr>
        <w:t xml:space="preserve"> syrup. With a percentage of 80.26%, ranitidine injection is the most widely used ulcer drug followed by </w:t>
      </w:r>
      <w:proofErr w:type="spellStart"/>
      <w:r w:rsidRPr="009E08C5">
        <w:rPr>
          <w:rFonts w:ascii="Arial" w:hAnsi="Arial" w:cs="Arial"/>
        </w:rPr>
        <w:t>sucralfate</w:t>
      </w:r>
      <w:proofErr w:type="spellEnd"/>
      <w:r w:rsidRPr="009E08C5">
        <w:rPr>
          <w:rFonts w:ascii="Arial" w:hAnsi="Arial" w:cs="Arial"/>
        </w:rPr>
        <w:t xml:space="preserve"> syrup at 10.19%. </w:t>
      </w:r>
      <w:proofErr w:type="spellStart"/>
      <w:r w:rsidRPr="009E08C5">
        <w:rPr>
          <w:rFonts w:ascii="Arial" w:hAnsi="Arial" w:cs="Arial"/>
        </w:rPr>
        <w:t>Omeprazole</w:t>
      </w:r>
      <w:proofErr w:type="spellEnd"/>
      <w:r w:rsidRPr="009E08C5">
        <w:rPr>
          <w:rFonts w:ascii="Arial" w:hAnsi="Arial" w:cs="Arial"/>
        </w:rPr>
        <w:t xml:space="preserve"> injection and ranitidine tablets have small usage proportions, being 5.99% and 3.56% respectively. Regarding the assessment of accuracy of indications, ranitidine with inappropriate indication was found for 605 unit doses and appropriate indication was for 522 unit doses. Appropriate</w:t>
      </w:r>
      <w:r w:rsidR="00A71561" w:rsidRPr="009E08C5">
        <w:rPr>
          <w:rFonts w:ascii="Arial" w:hAnsi="Arial" w:cs="Arial"/>
          <w:lang w:val="id-ID"/>
        </w:rPr>
        <w:t xml:space="preserve"> </w:t>
      </w:r>
      <w:r w:rsidRPr="009E08C5">
        <w:rPr>
          <w:rFonts w:ascii="Arial" w:hAnsi="Arial" w:cs="Arial"/>
        </w:rPr>
        <w:t xml:space="preserve">indications of </w:t>
      </w:r>
      <w:proofErr w:type="spellStart"/>
      <w:r w:rsidRPr="009E08C5">
        <w:rPr>
          <w:rFonts w:ascii="Arial" w:hAnsi="Arial" w:cs="Arial"/>
        </w:rPr>
        <w:t>sucralfate</w:t>
      </w:r>
      <w:proofErr w:type="spellEnd"/>
      <w:r w:rsidRPr="009E08C5">
        <w:rPr>
          <w:rFonts w:ascii="Arial" w:hAnsi="Arial" w:cs="Arial"/>
        </w:rPr>
        <w:t xml:space="preserve"> syrup doses totaled 136 units, while 7 units were inappropriate indications. Appropriate indication for the use of </w:t>
      </w:r>
      <w:proofErr w:type="spellStart"/>
      <w:r w:rsidRPr="009E08C5">
        <w:rPr>
          <w:rFonts w:ascii="Arial" w:hAnsi="Arial" w:cs="Arial"/>
        </w:rPr>
        <w:t>omeprazole</w:t>
      </w:r>
      <w:proofErr w:type="spellEnd"/>
      <w:r w:rsidRPr="009E08C5">
        <w:rPr>
          <w:rFonts w:ascii="Arial" w:hAnsi="Arial" w:cs="Arial"/>
        </w:rPr>
        <w:t xml:space="preserve"> injection was greater than the inappropriate indication, being 60 unit</w:t>
      </w:r>
      <w:r w:rsidR="00A71561" w:rsidRPr="009E08C5">
        <w:rPr>
          <w:rFonts w:ascii="Arial" w:hAnsi="Arial" w:cs="Arial"/>
          <w:lang w:val="id-ID"/>
        </w:rPr>
        <w:t xml:space="preserve"> </w:t>
      </w:r>
      <w:r w:rsidRPr="009E08C5">
        <w:rPr>
          <w:rFonts w:ascii="Arial" w:hAnsi="Arial" w:cs="Arial"/>
        </w:rPr>
        <w:t>doses compared to 24 unit doses. Meanwhile, in comparing appropriate indications and inappropriate indications for ranitidine tablets, the number of inappropriate unit dose indications is greater than appropriate indications, being 38 to 12 (Table 2).</w:t>
      </w:r>
    </w:p>
    <w:p w:rsidR="00003BA4" w:rsidRPr="009E08C5" w:rsidRDefault="00003BA4" w:rsidP="009E08C5">
      <w:pPr>
        <w:spacing w:line="480" w:lineRule="auto"/>
        <w:ind w:firstLine="720"/>
        <w:jc w:val="both"/>
        <w:rPr>
          <w:rFonts w:ascii="Arial" w:hAnsi="Arial" w:cs="Arial"/>
        </w:rPr>
      </w:pPr>
      <w:r w:rsidRPr="009E08C5">
        <w:rPr>
          <w:rFonts w:ascii="Arial" w:hAnsi="Arial" w:cs="Arial"/>
        </w:rPr>
        <w:t>The intended use of drugs has an indication of either SUP or non-SUP. The use of an ulcer drug is</w:t>
      </w:r>
      <w:r w:rsidR="00A71561" w:rsidRPr="009E08C5">
        <w:rPr>
          <w:rFonts w:ascii="Arial" w:hAnsi="Arial" w:cs="Arial"/>
          <w:lang w:val="id-ID"/>
        </w:rPr>
        <w:t xml:space="preserve"> </w:t>
      </w:r>
      <w:r w:rsidRPr="009E08C5">
        <w:rPr>
          <w:rFonts w:ascii="Arial" w:hAnsi="Arial" w:cs="Arial"/>
        </w:rPr>
        <w:t>appropriate if indicated as SUP or non-SUP. The use of an ulcer drug is inappropriate if it has no indication of use as SUP or non-SUP. Usage of ulcer drugs that is inappropriate is considered as excessive use. Excessive use was found for 48% of ulcer drugs that were declared for inappropriate indications. Appropriate assessment of ulcer drug</w:t>
      </w:r>
      <w:r w:rsidR="00A71561" w:rsidRPr="009E08C5">
        <w:rPr>
          <w:rFonts w:ascii="Arial" w:hAnsi="Arial" w:cs="Arial"/>
          <w:lang w:val="id-ID"/>
        </w:rPr>
        <w:t xml:space="preserve"> </w:t>
      </w:r>
      <w:r w:rsidRPr="009E08C5">
        <w:rPr>
          <w:rFonts w:ascii="Arial" w:hAnsi="Arial" w:cs="Arial"/>
        </w:rPr>
        <w:t>indications was stated for more non-SUP indications than SUP indications, being 36.4% compared to 15.95% (Figure 1).</w:t>
      </w:r>
    </w:p>
    <w:p w:rsidR="00447B9F" w:rsidRPr="009E08C5" w:rsidRDefault="00447B9F" w:rsidP="009E08C5">
      <w:pPr>
        <w:spacing w:line="480" w:lineRule="auto"/>
        <w:jc w:val="both"/>
        <w:rPr>
          <w:rFonts w:ascii="Arial" w:eastAsia="Calibri" w:hAnsi="Arial" w:cs="Arial"/>
          <w:lang w:val="id-ID"/>
        </w:rPr>
      </w:pPr>
    </w:p>
    <w:p w:rsidR="00003BA4" w:rsidRPr="009E08C5" w:rsidRDefault="00003BA4" w:rsidP="009E08C5">
      <w:pPr>
        <w:spacing w:line="480" w:lineRule="auto"/>
        <w:jc w:val="both"/>
        <w:rPr>
          <w:rFonts w:ascii="Arial" w:hAnsi="Arial" w:cs="Arial"/>
          <w:b/>
        </w:rPr>
      </w:pPr>
      <w:r w:rsidRPr="009E08C5">
        <w:rPr>
          <w:rFonts w:ascii="Arial" w:hAnsi="Arial" w:cs="Arial"/>
          <w:b/>
        </w:rPr>
        <w:t>Discussion</w:t>
      </w:r>
    </w:p>
    <w:p w:rsidR="00003BA4" w:rsidRPr="009E08C5" w:rsidRDefault="00003BA4" w:rsidP="009E08C5">
      <w:pPr>
        <w:spacing w:line="480" w:lineRule="auto"/>
        <w:jc w:val="both"/>
        <w:rPr>
          <w:rFonts w:ascii="Arial" w:hAnsi="Arial" w:cs="Arial"/>
          <w:b/>
        </w:rPr>
      </w:pPr>
      <w:r w:rsidRPr="009E08C5">
        <w:rPr>
          <w:rFonts w:ascii="Arial" w:hAnsi="Arial" w:cs="Arial"/>
        </w:rPr>
        <w:t>There is an increase in the use of stomach acid suppressants for both stress ulcer prophylaxis (SUP) and non-</w:t>
      </w:r>
      <w:proofErr w:type="spellStart"/>
      <w:r w:rsidRPr="009E08C5">
        <w:rPr>
          <w:rFonts w:ascii="Arial" w:hAnsi="Arial" w:cs="Arial"/>
        </w:rPr>
        <w:t>SUPindications</w:t>
      </w:r>
      <w:proofErr w:type="spellEnd"/>
      <w:r w:rsidRPr="009E08C5">
        <w:rPr>
          <w:rFonts w:ascii="Arial" w:hAnsi="Arial" w:cs="Arial"/>
        </w:rPr>
        <w:t xml:space="preserve">. A study shows an increase in the use of ulcer drugs from 2011 to 2013 with indications of use for both SUP and non-SUP therapy [12]. This study was conducted to analyze the use and cost of SUP medicine for inpatient surgery in </w:t>
      </w:r>
      <w:proofErr w:type="spellStart"/>
      <w:r w:rsidRPr="009E08C5">
        <w:rPr>
          <w:rFonts w:ascii="Arial" w:hAnsi="Arial" w:cs="Arial"/>
        </w:rPr>
        <w:t>Dr.Soetomo</w:t>
      </w:r>
      <w:proofErr w:type="spellEnd"/>
      <w:r w:rsidRPr="009E08C5">
        <w:rPr>
          <w:rFonts w:ascii="Arial" w:hAnsi="Arial" w:cs="Arial"/>
        </w:rPr>
        <w:t xml:space="preserve"> General Hospital.</w:t>
      </w:r>
    </w:p>
    <w:p w:rsidR="00003BA4" w:rsidRPr="009E08C5" w:rsidRDefault="00003BA4" w:rsidP="009E08C5">
      <w:pPr>
        <w:spacing w:line="480" w:lineRule="auto"/>
        <w:ind w:firstLine="720"/>
        <w:jc w:val="both"/>
        <w:rPr>
          <w:rFonts w:ascii="Arial" w:hAnsi="Arial" w:cs="Arial"/>
          <w:b/>
        </w:rPr>
      </w:pPr>
      <w:r w:rsidRPr="009E08C5">
        <w:rPr>
          <w:rFonts w:ascii="Arial" w:hAnsi="Arial" w:cs="Arial"/>
        </w:rPr>
        <w:t xml:space="preserve">In this study, 152 patients were examined for their use of ulcer drugs, with the male patients having a greater proportion than female patients. This is similar to a research conducted in 2016 on the use of PPIs in hospitals, where the proportion of male patients is higher than females, because in the hospital where the study was conducted, the population of male patients was more dominant than females [13]. The number of patients treated over a span of&gt; 7 days is greater than patients treated ≤ 7 days. The length of time for a surgical patient may be caused by the long waiting period for an operation that is affected by the unavailability of equipment and </w:t>
      </w:r>
      <w:proofErr w:type="spellStart"/>
      <w:r w:rsidRPr="009E08C5">
        <w:rPr>
          <w:rFonts w:ascii="Arial" w:hAnsi="Arial" w:cs="Arial"/>
        </w:rPr>
        <w:t>comorbid</w:t>
      </w:r>
      <w:proofErr w:type="spellEnd"/>
      <w:r w:rsidRPr="009E08C5">
        <w:rPr>
          <w:rFonts w:ascii="Arial" w:hAnsi="Arial" w:cs="Arial"/>
        </w:rPr>
        <w:t xml:space="preserve"> patients [14]. Greater lengths of stay in a </w:t>
      </w:r>
      <w:proofErr w:type="spellStart"/>
      <w:r w:rsidRPr="009E08C5">
        <w:rPr>
          <w:rFonts w:ascii="Arial" w:hAnsi="Arial" w:cs="Arial"/>
        </w:rPr>
        <w:t>hospitalfor</w:t>
      </w:r>
      <w:proofErr w:type="spellEnd"/>
      <w:r w:rsidRPr="009E08C5">
        <w:rPr>
          <w:rFonts w:ascii="Arial" w:hAnsi="Arial" w:cs="Arial"/>
        </w:rPr>
        <w:t xml:space="preserve"> patients results in a greater risk of patients experiencing </w:t>
      </w:r>
      <w:proofErr w:type="spellStart"/>
      <w:r w:rsidRPr="009E08C5">
        <w:rPr>
          <w:rFonts w:ascii="Arial" w:hAnsi="Arial" w:cs="Arial"/>
        </w:rPr>
        <w:t>nosocomial</w:t>
      </w:r>
      <w:proofErr w:type="spellEnd"/>
      <w:r w:rsidRPr="009E08C5">
        <w:rPr>
          <w:rFonts w:ascii="Arial" w:hAnsi="Arial" w:cs="Arial"/>
        </w:rPr>
        <w:t xml:space="preserve"> infections and an increased burden of patient care costs.</w:t>
      </w:r>
    </w:p>
    <w:p w:rsidR="00003BA4" w:rsidRPr="009E08C5" w:rsidRDefault="00003BA4" w:rsidP="009E08C5">
      <w:pPr>
        <w:spacing w:line="480" w:lineRule="auto"/>
        <w:ind w:firstLine="720"/>
        <w:jc w:val="both"/>
        <w:rPr>
          <w:rFonts w:ascii="Arial" w:hAnsi="Arial" w:cs="Arial"/>
          <w:b/>
        </w:rPr>
      </w:pPr>
      <w:r w:rsidRPr="009E08C5">
        <w:rPr>
          <w:rFonts w:ascii="Arial" w:hAnsi="Arial" w:cs="Arial"/>
        </w:rPr>
        <w:t>The use of ulcer drugs is considered excessive if they are not indicated as SUP or non-</w:t>
      </w:r>
      <w:proofErr w:type="spellStart"/>
      <w:r w:rsidRPr="009E08C5">
        <w:rPr>
          <w:rFonts w:ascii="Arial" w:hAnsi="Arial" w:cs="Arial"/>
        </w:rPr>
        <w:t>SUPfor</w:t>
      </w:r>
      <w:proofErr w:type="spellEnd"/>
      <w:r w:rsidRPr="009E08C5">
        <w:rPr>
          <w:rFonts w:ascii="Arial" w:hAnsi="Arial" w:cs="Arial"/>
        </w:rPr>
        <w:t xml:space="preserve"> patients. SUP is indicated if the patient has 1 absolute indication or more than 1 relative indication. The non-SUP indication is therapy for GI disorders and ulcer prophylaxis due to the use of NSAIDs. In this study, prophylactic pulmonary aspiration and premedication hypersensitivity reaction (HSR) are included for non-SUP indications. This is in accordance with recommendations from the 2017 American Society of Anesthesiologists (ASA), which state that ulcer drugs are needed to reduce the risk of pulmonary aspiration [16]. Premedication hypersensitivity reaction (HSR) was included for non-SUP indications because H2RA drugs are needed to prevent hypersensitivity reactions from the use of chemotherapy drugs [17]. In this study, it was found that the percentage of ulcer drug usage for </w:t>
      </w:r>
      <w:proofErr w:type="spellStart"/>
      <w:r w:rsidRPr="009E08C5">
        <w:rPr>
          <w:rFonts w:ascii="Arial" w:hAnsi="Arial" w:cs="Arial"/>
        </w:rPr>
        <w:t>appropriateindicationswas</w:t>
      </w:r>
      <w:proofErr w:type="spellEnd"/>
      <w:r w:rsidRPr="009E08C5">
        <w:rPr>
          <w:rFonts w:ascii="Arial" w:hAnsi="Arial" w:cs="Arial"/>
        </w:rPr>
        <w:t xml:space="preserve"> greater than for inappropriate indications. A research </w:t>
      </w:r>
      <w:r w:rsidRPr="009E08C5">
        <w:rPr>
          <w:rFonts w:ascii="Arial" w:hAnsi="Arial" w:cs="Arial"/>
        </w:rPr>
        <w:lastRenderedPageBreak/>
        <w:t xml:space="preserve">conducted by </w:t>
      </w:r>
      <w:proofErr w:type="spellStart"/>
      <w:r w:rsidRPr="009E08C5">
        <w:rPr>
          <w:rFonts w:ascii="Arial" w:hAnsi="Arial" w:cs="Arial"/>
        </w:rPr>
        <w:t>Taha</w:t>
      </w:r>
      <w:r w:rsidRPr="009E08C5">
        <w:rPr>
          <w:rFonts w:ascii="Arial" w:hAnsi="Arial" w:cs="Arial"/>
          <w:i/>
        </w:rPr>
        <w:t>et</w:t>
      </w:r>
      <w:proofErr w:type="spellEnd"/>
      <w:r w:rsidRPr="009E08C5">
        <w:rPr>
          <w:rFonts w:ascii="Arial" w:hAnsi="Arial" w:cs="Arial"/>
          <w:i/>
        </w:rPr>
        <w:t xml:space="preserve"> al.</w:t>
      </w:r>
      <w:r w:rsidRPr="009E08C5">
        <w:rPr>
          <w:rFonts w:ascii="Arial" w:hAnsi="Arial" w:cs="Arial"/>
        </w:rPr>
        <w:t xml:space="preserve"> (2012) also showed similar results, where the </w:t>
      </w:r>
      <w:proofErr w:type="spellStart"/>
      <w:r w:rsidRPr="009E08C5">
        <w:rPr>
          <w:rFonts w:ascii="Arial" w:hAnsi="Arial" w:cs="Arial"/>
        </w:rPr>
        <w:t>appropriateusage</w:t>
      </w:r>
      <w:proofErr w:type="spellEnd"/>
      <w:r w:rsidRPr="009E08C5">
        <w:rPr>
          <w:rFonts w:ascii="Arial" w:hAnsi="Arial" w:cs="Arial"/>
        </w:rPr>
        <w:t xml:space="preserve"> for drugs was greater than inappropriate drug usage, being 66.2% compared to 33.8% [18].</w:t>
      </w:r>
    </w:p>
    <w:p w:rsidR="00003BA4" w:rsidRPr="009E08C5" w:rsidRDefault="00003BA4" w:rsidP="009E08C5">
      <w:pPr>
        <w:spacing w:line="480" w:lineRule="auto"/>
        <w:ind w:firstLine="720"/>
        <w:jc w:val="both"/>
        <w:rPr>
          <w:rFonts w:ascii="Arial" w:hAnsi="Arial" w:cs="Arial"/>
          <w:b/>
        </w:rPr>
      </w:pPr>
      <w:r w:rsidRPr="009E08C5">
        <w:rPr>
          <w:rFonts w:ascii="Arial" w:hAnsi="Arial" w:cs="Arial"/>
        </w:rPr>
        <w:t xml:space="preserve">In this research, ulcer drugs without SUP or non-SUP indication </w:t>
      </w:r>
      <w:proofErr w:type="spellStart"/>
      <w:r w:rsidRPr="009E08C5">
        <w:rPr>
          <w:rFonts w:ascii="Arial" w:hAnsi="Arial" w:cs="Arial"/>
        </w:rPr>
        <w:t>contributedthe</w:t>
      </w:r>
      <w:proofErr w:type="spellEnd"/>
      <w:r w:rsidRPr="009E08C5">
        <w:rPr>
          <w:rFonts w:ascii="Arial" w:hAnsi="Arial" w:cs="Arial"/>
        </w:rPr>
        <w:t xml:space="preserve"> most into overuse assessment. This is because patients do not show the use of ulcer drugs without clear indications, such as in the research conducted by </w:t>
      </w:r>
      <w:proofErr w:type="spellStart"/>
      <w:r w:rsidRPr="009E08C5">
        <w:rPr>
          <w:rFonts w:ascii="Arial" w:hAnsi="Arial" w:cs="Arial"/>
        </w:rPr>
        <w:t>Abdikarim</w:t>
      </w:r>
      <w:r w:rsidRPr="009E08C5">
        <w:rPr>
          <w:rFonts w:ascii="Arial" w:hAnsi="Arial" w:cs="Arial"/>
          <w:i/>
        </w:rPr>
        <w:t>et</w:t>
      </w:r>
      <w:proofErr w:type="spellEnd"/>
      <w:r w:rsidRPr="009E08C5">
        <w:rPr>
          <w:rFonts w:ascii="Arial" w:hAnsi="Arial" w:cs="Arial"/>
          <w:i/>
        </w:rPr>
        <w:t xml:space="preserve"> al</w:t>
      </w:r>
      <w:r w:rsidRPr="009E08C5">
        <w:rPr>
          <w:rFonts w:ascii="Arial" w:hAnsi="Arial" w:cs="Arial"/>
        </w:rPr>
        <w:t>. (2017)</w:t>
      </w:r>
      <w:proofErr w:type="gramStart"/>
      <w:r w:rsidRPr="009E08C5">
        <w:rPr>
          <w:rFonts w:ascii="Arial" w:hAnsi="Arial" w:cs="Arial"/>
        </w:rPr>
        <w:t>,where</w:t>
      </w:r>
      <w:proofErr w:type="gramEnd"/>
      <w:r w:rsidRPr="009E08C5">
        <w:rPr>
          <w:rFonts w:ascii="Arial" w:hAnsi="Arial" w:cs="Arial"/>
        </w:rPr>
        <w:t xml:space="preserve"> it is stated that 26% of patients use ulcer drugs without proper indications [23]. Ulcer drugs are also </w:t>
      </w:r>
      <w:proofErr w:type="spellStart"/>
      <w:r w:rsidRPr="009E08C5">
        <w:rPr>
          <w:rFonts w:ascii="Arial" w:hAnsi="Arial" w:cs="Arial"/>
        </w:rPr>
        <w:t>consideredto</w:t>
      </w:r>
      <w:proofErr w:type="spellEnd"/>
      <w:r w:rsidRPr="009E08C5">
        <w:rPr>
          <w:rFonts w:ascii="Arial" w:hAnsi="Arial" w:cs="Arial"/>
        </w:rPr>
        <w:t xml:space="preserve"> be inappropriately indicated if only 1 relative indication is found. This is not in accordance with ASHP guidelines. In a study conducted by Cook and </w:t>
      </w:r>
      <w:proofErr w:type="spellStart"/>
      <w:r w:rsidRPr="009E08C5">
        <w:rPr>
          <w:rFonts w:ascii="Arial" w:hAnsi="Arial" w:cs="Arial"/>
        </w:rPr>
        <w:t>Guyat</w:t>
      </w:r>
      <w:proofErr w:type="spellEnd"/>
      <w:r w:rsidRPr="009E08C5">
        <w:rPr>
          <w:rFonts w:ascii="Arial" w:hAnsi="Arial" w:cs="Arial"/>
        </w:rPr>
        <w:t xml:space="preserve"> (2018), among 1,769 </w:t>
      </w:r>
      <w:proofErr w:type="spellStart"/>
      <w:r w:rsidRPr="009E08C5">
        <w:rPr>
          <w:rFonts w:ascii="Arial" w:hAnsi="Arial" w:cs="Arial"/>
        </w:rPr>
        <w:t>patients</w:t>
      </w:r>
      <w:proofErr w:type="gramStart"/>
      <w:r w:rsidRPr="009E08C5">
        <w:rPr>
          <w:rFonts w:ascii="Arial" w:hAnsi="Arial" w:cs="Arial"/>
        </w:rPr>
        <w:t>,it</w:t>
      </w:r>
      <w:proofErr w:type="spellEnd"/>
      <w:proofErr w:type="gramEnd"/>
      <w:r w:rsidRPr="009E08C5">
        <w:rPr>
          <w:rFonts w:ascii="Arial" w:hAnsi="Arial" w:cs="Arial"/>
        </w:rPr>
        <w:t xml:space="preserve"> was found that SUP was </w:t>
      </w:r>
      <w:proofErr w:type="spellStart"/>
      <w:r w:rsidRPr="009E08C5">
        <w:rPr>
          <w:rFonts w:ascii="Arial" w:hAnsi="Arial" w:cs="Arial"/>
        </w:rPr>
        <w:t>prescribedfor</w:t>
      </w:r>
      <w:proofErr w:type="spellEnd"/>
      <w:r w:rsidRPr="009E08C5">
        <w:rPr>
          <w:rFonts w:ascii="Arial" w:hAnsi="Arial" w:cs="Arial"/>
        </w:rPr>
        <w:t xml:space="preserve"> 54% of patients who did not meet the suitability criteria of SUP usage [24]. In addition to increasing the burden of drug costs, the use of ulcer drugs without proper indications will result in ADRs, including pneumonia and </w:t>
      </w:r>
      <w:r w:rsidRPr="009E08C5">
        <w:rPr>
          <w:rFonts w:ascii="Arial" w:hAnsi="Arial" w:cs="Arial"/>
          <w:i/>
        </w:rPr>
        <w:t xml:space="preserve">C. </w:t>
      </w:r>
      <w:proofErr w:type="spellStart"/>
      <w:r w:rsidRPr="009E08C5">
        <w:rPr>
          <w:rFonts w:ascii="Arial" w:hAnsi="Arial" w:cs="Arial"/>
          <w:i/>
        </w:rPr>
        <w:t>difficile</w:t>
      </w:r>
      <w:r w:rsidRPr="009E08C5">
        <w:rPr>
          <w:rFonts w:ascii="Arial" w:hAnsi="Arial" w:cs="Arial"/>
        </w:rPr>
        <w:t>infections</w:t>
      </w:r>
      <w:proofErr w:type="spellEnd"/>
      <w:r w:rsidRPr="009E08C5">
        <w:rPr>
          <w:rFonts w:ascii="Arial" w:hAnsi="Arial" w:cs="Arial"/>
        </w:rPr>
        <w:t xml:space="preserve">, and increased patient mortality related to sepsis. This is due to an increase in the growth of pathogenic bacteria due </w:t>
      </w:r>
      <w:proofErr w:type="spellStart"/>
      <w:r w:rsidRPr="009E08C5">
        <w:rPr>
          <w:rFonts w:ascii="Arial" w:hAnsi="Arial" w:cs="Arial"/>
        </w:rPr>
        <w:t>tothe</w:t>
      </w:r>
      <w:proofErr w:type="spellEnd"/>
      <w:r w:rsidRPr="009E08C5">
        <w:rPr>
          <w:rFonts w:ascii="Arial" w:hAnsi="Arial" w:cs="Arial"/>
        </w:rPr>
        <w:t xml:space="preserve"> suppression of gastric acid as a defense against the immune system [25].</w:t>
      </w:r>
    </w:p>
    <w:p w:rsidR="00003BA4" w:rsidRPr="009E08C5" w:rsidRDefault="00003BA4" w:rsidP="009E08C5">
      <w:pPr>
        <w:spacing w:line="480" w:lineRule="auto"/>
        <w:jc w:val="both"/>
        <w:rPr>
          <w:rFonts w:ascii="Arial" w:hAnsi="Arial" w:cs="Arial"/>
          <w:b/>
        </w:rPr>
      </w:pPr>
      <w:r w:rsidRPr="009E08C5">
        <w:rPr>
          <w:rFonts w:ascii="Arial" w:hAnsi="Arial" w:cs="Arial"/>
          <w:b/>
        </w:rPr>
        <w:t>Acknowledgments</w:t>
      </w:r>
    </w:p>
    <w:p w:rsidR="00003BA4" w:rsidRPr="009E08C5" w:rsidRDefault="00003BA4" w:rsidP="009E08C5">
      <w:pPr>
        <w:spacing w:line="480" w:lineRule="auto"/>
        <w:jc w:val="both"/>
        <w:rPr>
          <w:rFonts w:ascii="Arial" w:hAnsi="Arial" w:cs="Arial"/>
        </w:rPr>
      </w:pPr>
      <w:r w:rsidRPr="009E08C5">
        <w:rPr>
          <w:rFonts w:ascii="Arial" w:hAnsi="Arial" w:cs="Arial"/>
        </w:rPr>
        <w:t xml:space="preserve">Gratitude is due to the Director of Dr. </w:t>
      </w:r>
      <w:proofErr w:type="spellStart"/>
      <w:r w:rsidRPr="009E08C5">
        <w:rPr>
          <w:rFonts w:ascii="Arial" w:hAnsi="Arial" w:cs="Arial"/>
        </w:rPr>
        <w:t>Soetomo</w:t>
      </w:r>
      <w:proofErr w:type="spellEnd"/>
      <w:r w:rsidRPr="009E08C5">
        <w:rPr>
          <w:rFonts w:ascii="Arial" w:hAnsi="Arial" w:cs="Arial"/>
        </w:rPr>
        <w:t xml:space="preserve"> General Hospital and the Head of the Inpatient Operating Room of Dr. </w:t>
      </w:r>
      <w:proofErr w:type="spellStart"/>
      <w:r w:rsidRPr="009E08C5">
        <w:rPr>
          <w:rFonts w:ascii="Arial" w:hAnsi="Arial" w:cs="Arial"/>
        </w:rPr>
        <w:t>Soetomo</w:t>
      </w:r>
      <w:proofErr w:type="spellEnd"/>
      <w:r w:rsidRPr="009E08C5">
        <w:rPr>
          <w:rFonts w:ascii="Arial" w:hAnsi="Arial" w:cs="Arial"/>
        </w:rPr>
        <w:t xml:space="preserve"> General Hospital.</w:t>
      </w:r>
    </w:p>
    <w:p w:rsidR="00003BA4" w:rsidRPr="009E08C5" w:rsidRDefault="00003BA4" w:rsidP="00003BA4">
      <w:pPr>
        <w:spacing w:line="276" w:lineRule="auto"/>
        <w:jc w:val="both"/>
        <w:rPr>
          <w:rFonts w:ascii="Arial" w:hAnsi="Arial" w:cs="Arial"/>
        </w:rPr>
      </w:pPr>
      <w:r w:rsidRPr="009E08C5">
        <w:rPr>
          <w:rFonts w:ascii="Arial" w:hAnsi="Arial" w:cs="Arial"/>
          <w:shd w:val="clear" w:color="auto" w:fill="F8F9FA"/>
        </w:rPr>
        <w:t> </w:t>
      </w:r>
    </w:p>
    <w:p w:rsidR="00003BA4" w:rsidRPr="009E08C5" w:rsidRDefault="00003BA4" w:rsidP="00003BA4">
      <w:pPr>
        <w:spacing w:line="276" w:lineRule="auto"/>
        <w:rPr>
          <w:rFonts w:ascii="Arial" w:hAnsi="Arial" w:cs="Arial"/>
          <w:b/>
        </w:rPr>
      </w:pPr>
      <w:r w:rsidRPr="009E08C5">
        <w:rPr>
          <w:rFonts w:ascii="Arial" w:hAnsi="Arial" w:cs="Arial"/>
          <w:b/>
        </w:rPr>
        <w:br w:type="page"/>
      </w:r>
    </w:p>
    <w:p w:rsidR="00003BA4" w:rsidRPr="009E08C5" w:rsidRDefault="00003BA4" w:rsidP="00003BA4">
      <w:pPr>
        <w:spacing w:line="480" w:lineRule="auto"/>
        <w:jc w:val="both"/>
        <w:rPr>
          <w:rFonts w:ascii="Arial" w:hAnsi="Arial" w:cs="Arial"/>
          <w:b/>
        </w:rPr>
      </w:pPr>
      <w:r w:rsidRPr="009E08C5">
        <w:rPr>
          <w:rFonts w:ascii="Arial" w:hAnsi="Arial" w:cs="Arial"/>
          <w:b/>
        </w:rPr>
        <w:lastRenderedPageBreak/>
        <w:t>References</w:t>
      </w:r>
    </w:p>
    <w:p w:rsidR="00003BA4" w:rsidRPr="009E08C5" w:rsidRDefault="00003BA4" w:rsidP="004D34A5">
      <w:pPr>
        <w:pStyle w:val="NormalWeb"/>
        <w:numPr>
          <w:ilvl w:val="0"/>
          <w:numId w:val="1"/>
        </w:numPr>
        <w:spacing w:before="0" w:beforeAutospacing="0" w:line="480" w:lineRule="auto"/>
        <w:ind w:left="426" w:hanging="426"/>
        <w:rPr>
          <w:rFonts w:ascii="Arial" w:hAnsi="Arial" w:cs="Arial"/>
          <w:sz w:val="22"/>
          <w:szCs w:val="22"/>
        </w:rPr>
      </w:pPr>
      <w:r w:rsidRPr="009E08C5">
        <w:rPr>
          <w:rFonts w:ascii="Arial" w:hAnsi="Arial" w:cs="Arial"/>
          <w:sz w:val="22"/>
          <w:szCs w:val="22"/>
        </w:rPr>
        <w:t>Shuman R, Schuster D, Zuckerman GR. Prophylactic therapy for stress ulcer bleeding: a reappraisal. Ann Intern Med 1987</w:t>
      </w:r>
      <w:proofErr w:type="gramStart"/>
      <w:r w:rsidRPr="009E08C5">
        <w:rPr>
          <w:rFonts w:ascii="Arial" w:hAnsi="Arial" w:cs="Arial"/>
          <w:sz w:val="22"/>
          <w:szCs w:val="22"/>
        </w:rPr>
        <w:t>;106:562</w:t>
      </w:r>
      <w:proofErr w:type="gramEnd"/>
      <w:r w:rsidRPr="009E08C5">
        <w:rPr>
          <w:rFonts w:ascii="Arial" w:hAnsi="Arial" w:cs="Arial"/>
          <w:sz w:val="22"/>
          <w:szCs w:val="22"/>
        </w:rPr>
        <w:t>–</w:t>
      </w:r>
      <w:r w:rsidRPr="009E08C5">
        <w:rPr>
          <w:rFonts w:ascii="Arial" w:hAnsi="Arial" w:cs="Arial"/>
          <w:sz w:val="22"/>
          <w:szCs w:val="22"/>
          <w:lang w:val="id-ID"/>
        </w:rPr>
        <w:t>567</w:t>
      </w:r>
      <w:r w:rsidRPr="009E08C5">
        <w:rPr>
          <w:rFonts w:ascii="Arial" w:hAnsi="Arial" w:cs="Arial"/>
          <w:sz w:val="22"/>
          <w:szCs w:val="22"/>
        </w:rPr>
        <w:t>.</w:t>
      </w:r>
    </w:p>
    <w:p w:rsidR="00003BA4" w:rsidRPr="009E08C5" w:rsidRDefault="00003BA4" w:rsidP="004D34A5">
      <w:pPr>
        <w:pStyle w:val="NormalWeb"/>
        <w:numPr>
          <w:ilvl w:val="0"/>
          <w:numId w:val="1"/>
        </w:numPr>
        <w:spacing w:before="0" w:beforeAutospacing="0" w:line="480" w:lineRule="auto"/>
        <w:ind w:left="426" w:hanging="426"/>
        <w:rPr>
          <w:rFonts w:ascii="Arial" w:hAnsi="Arial" w:cs="Arial"/>
          <w:sz w:val="22"/>
          <w:szCs w:val="22"/>
        </w:rPr>
      </w:pPr>
      <w:r w:rsidRPr="009E08C5">
        <w:rPr>
          <w:rFonts w:ascii="Arial" w:hAnsi="Arial" w:cs="Arial"/>
          <w:sz w:val="22"/>
          <w:szCs w:val="22"/>
          <w:lang w:val="id-ID"/>
        </w:rPr>
        <w:t>Del Vicario M, Bessi A, Zollo F, Petroni F, Scala A, Caldarelli G, et al. The spreading of misinformation online. Proc Natl Acad Sci 2016;113:554.</w:t>
      </w:r>
    </w:p>
    <w:p w:rsidR="00003BA4" w:rsidRPr="009E08C5" w:rsidRDefault="00003BA4" w:rsidP="004D34A5">
      <w:pPr>
        <w:pStyle w:val="NormalWeb"/>
        <w:numPr>
          <w:ilvl w:val="0"/>
          <w:numId w:val="1"/>
        </w:numPr>
        <w:spacing w:before="0" w:beforeAutospacing="0" w:line="480" w:lineRule="auto"/>
        <w:ind w:left="426" w:hanging="426"/>
        <w:rPr>
          <w:rFonts w:ascii="Arial" w:hAnsi="Arial" w:cs="Arial"/>
          <w:sz w:val="22"/>
          <w:szCs w:val="22"/>
        </w:rPr>
      </w:pPr>
      <w:r w:rsidRPr="009E08C5">
        <w:rPr>
          <w:rFonts w:ascii="Arial" w:hAnsi="Arial" w:cs="Arial"/>
          <w:sz w:val="22"/>
          <w:szCs w:val="22"/>
          <w:lang w:val="id-ID"/>
        </w:rPr>
        <w:t>Kemp S. Digital in Southeast Asia in 2017. New York: We Are Social Ltd, 2017 [updated 16 February 2017; cited 2019. Available at:https://wearesocial.com/special-reports/digital-southeast-asia-2017.</w:t>
      </w:r>
      <w:r w:rsidR="00452DF2" w:rsidRPr="009E08C5">
        <w:rPr>
          <w:rFonts w:ascii="Arial" w:hAnsi="Arial" w:cs="Arial"/>
          <w:sz w:val="22"/>
          <w:szCs w:val="22"/>
          <w:lang w:val="id-ID"/>
        </w:rPr>
        <w:t xml:space="preserve"> </w:t>
      </w:r>
    </w:p>
    <w:p w:rsidR="00452DF2" w:rsidRPr="009E08C5" w:rsidRDefault="00452DF2" w:rsidP="004D34A5">
      <w:pPr>
        <w:pStyle w:val="NormalWeb"/>
        <w:numPr>
          <w:ilvl w:val="0"/>
          <w:numId w:val="1"/>
        </w:numPr>
        <w:spacing w:before="0" w:beforeAutospacing="0" w:line="480" w:lineRule="auto"/>
        <w:ind w:left="426" w:hanging="426"/>
        <w:rPr>
          <w:rFonts w:ascii="Arial" w:hAnsi="Arial" w:cs="Arial"/>
          <w:sz w:val="22"/>
          <w:szCs w:val="22"/>
        </w:rPr>
      </w:pPr>
      <w:r w:rsidRPr="009E08C5">
        <w:rPr>
          <w:rFonts w:ascii="Arial" w:hAnsi="Arial" w:cs="Arial"/>
          <w:sz w:val="22"/>
          <w:szCs w:val="22"/>
        </w:rPr>
        <w:t xml:space="preserve">Kahn CR, Weir GC, editors. </w:t>
      </w:r>
      <w:proofErr w:type="spellStart"/>
      <w:r w:rsidRPr="009E08C5">
        <w:rPr>
          <w:rFonts w:ascii="Arial" w:hAnsi="Arial" w:cs="Arial"/>
          <w:sz w:val="22"/>
          <w:szCs w:val="22"/>
        </w:rPr>
        <w:t>Joslin’s</w:t>
      </w:r>
      <w:proofErr w:type="spellEnd"/>
      <w:r w:rsidRPr="009E08C5">
        <w:rPr>
          <w:rFonts w:ascii="Arial" w:hAnsi="Arial" w:cs="Arial"/>
          <w:sz w:val="22"/>
          <w:szCs w:val="22"/>
        </w:rPr>
        <w:t xml:space="preserve"> diabetes mellitus, 13th ed. Philadelphia: Lea and </w:t>
      </w:r>
      <w:proofErr w:type="spellStart"/>
      <w:r w:rsidRPr="009E08C5">
        <w:rPr>
          <w:rFonts w:ascii="Arial" w:hAnsi="Arial" w:cs="Arial"/>
          <w:sz w:val="22"/>
          <w:szCs w:val="22"/>
        </w:rPr>
        <w:t>Febiger</w:t>
      </w:r>
      <w:proofErr w:type="spellEnd"/>
      <w:r w:rsidRPr="009E08C5">
        <w:rPr>
          <w:rFonts w:ascii="Arial" w:hAnsi="Arial" w:cs="Arial"/>
          <w:sz w:val="22"/>
          <w:szCs w:val="22"/>
        </w:rPr>
        <w:t>, 1994:1068.</w:t>
      </w:r>
    </w:p>
    <w:p w:rsidR="00452DF2" w:rsidRPr="009E08C5" w:rsidRDefault="00452DF2" w:rsidP="004D34A5">
      <w:pPr>
        <w:pStyle w:val="NormalWeb"/>
        <w:numPr>
          <w:ilvl w:val="0"/>
          <w:numId w:val="1"/>
        </w:numPr>
        <w:spacing w:before="0" w:beforeAutospacing="0" w:line="480" w:lineRule="auto"/>
        <w:ind w:left="426" w:hanging="426"/>
        <w:rPr>
          <w:rFonts w:ascii="Arial" w:hAnsi="Arial" w:cs="Arial"/>
          <w:sz w:val="22"/>
          <w:szCs w:val="22"/>
        </w:rPr>
      </w:pPr>
      <w:proofErr w:type="spellStart"/>
      <w:r w:rsidRPr="009E08C5">
        <w:rPr>
          <w:rFonts w:ascii="Arial" w:hAnsi="Arial" w:cs="Arial"/>
          <w:sz w:val="22"/>
          <w:szCs w:val="22"/>
        </w:rPr>
        <w:t>Karnofsky</w:t>
      </w:r>
      <w:proofErr w:type="spellEnd"/>
      <w:r w:rsidRPr="009E08C5">
        <w:rPr>
          <w:rFonts w:ascii="Arial" w:hAnsi="Arial" w:cs="Arial"/>
          <w:sz w:val="22"/>
          <w:szCs w:val="22"/>
        </w:rPr>
        <w:t xml:space="preserve"> DH, </w:t>
      </w:r>
      <w:proofErr w:type="spellStart"/>
      <w:r w:rsidRPr="009E08C5">
        <w:rPr>
          <w:rFonts w:ascii="Arial" w:hAnsi="Arial" w:cs="Arial"/>
          <w:sz w:val="22"/>
          <w:szCs w:val="22"/>
        </w:rPr>
        <w:t>Burchenal</w:t>
      </w:r>
      <w:proofErr w:type="spellEnd"/>
      <w:r w:rsidRPr="009E08C5">
        <w:rPr>
          <w:rFonts w:ascii="Arial" w:hAnsi="Arial" w:cs="Arial"/>
          <w:sz w:val="22"/>
          <w:szCs w:val="22"/>
        </w:rPr>
        <w:t xml:space="preserve"> JH. The clinical evaluation of chemotherapeutic agents in cancer. In: Macleod CM, editor. Evaluation of chemotherapeutic agents. New York: Columbia University Press, 1949:191–205.</w:t>
      </w:r>
    </w:p>
    <w:p w:rsidR="00003BA4" w:rsidRPr="009E08C5" w:rsidRDefault="00003BA4" w:rsidP="004D34A5">
      <w:pPr>
        <w:spacing w:line="480" w:lineRule="auto"/>
        <w:ind w:left="426" w:hanging="426"/>
        <w:rPr>
          <w:rFonts w:ascii="Arial" w:hAnsi="Arial" w:cs="Arial"/>
        </w:rPr>
      </w:pPr>
    </w:p>
    <w:p w:rsidR="00003BA4" w:rsidRPr="009E08C5" w:rsidRDefault="00003BA4" w:rsidP="004D34A5">
      <w:pPr>
        <w:spacing w:line="480" w:lineRule="auto"/>
        <w:jc w:val="both"/>
        <w:rPr>
          <w:rFonts w:ascii="Arial" w:hAnsi="Arial" w:cs="Arial"/>
        </w:rPr>
      </w:pPr>
    </w:p>
    <w:p w:rsidR="00003BA4" w:rsidRPr="009E08C5" w:rsidRDefault="00003BA4" w:rsidP="004D34A5">
      <w:pPr>
        <w:spacing w:line="480" w:lineRule="auto"/>
        <w:rPr>
          <w:rFonts w:ascii="Arial" w:hAnsi="Arial" w:cs="Arial"/>
        </w:rPr>
      </w:pPr>
      <w:r w:rsidRPr="009E08C5">
        <w:rPr>
          <w:rFonts w:ascii="Arial" w:hAnsi="Arial" w:cs="Arial"/>
        </w:rPr>
        <w:br w:type="page"/>
      </w:r>
    </w:p>
    <w:p w:rsidR="00DC5760" w:rsidRPr="009E08C5" w:rsidRDefault="00DC5760" w:rsidP="004D34A5">
      <w:pPr>
        <w:spacing w:line="480" w:lineRule="auto"/>
        <w:jc w:val="center"/>
        <w:rPr>
          <w:rFonts w:ascii="Arial" w:eastAsia="Calibri" w:hAnsi="Arial" w:cs="Arial"/>
          <w:b/>
          <w:lang w:val="id-ID"/>
        </w:rPr>
      </w:pPr>
      <w:r w:rsidRPr="009E08C5">
        <w:rPr>
          <w:rFonts w:ascii="Arial" w:eastAsia="Calibri" w:hAnsi="Arial" w:cs="Arial"/>
          <w:b/>
          <w:noProof/>
          <w:lang w:val="id-ID" w:eastAsia="id-ID"/>
        </w:rPr>
        <w:lastRenderedPageBreak/>
        <w:drawing>
          <wp:inline distT="0" distB="0" distL="0" distR="0">
            <wp:extent cx="3814657" cy="2842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4983" cy="2842988"/>
                    </a:xfrm>
                    <a:prstGeom prst="rect">
                      <a:avLst/>
                    </a:prstGeom>
                    <a:noFill/>
                    <a:ln w="9525">
                      <a:noFill/>
                      <a:miter lim="800000"/>
                      <a:headEnd/>
                      <a:tailEnd/>
                    </a:ln>
                  </pic:spPr>
                </pic:pic>
              </a:graphicData>
            </a:graphic>
          </wp:inline>
        </w:drawing>
      </w:r>
    </w:p>
    <w:p w:rsidR="00003BA4" w:rsidRPr="009E08C5" w:rsidRDefault="00003BA4" w:rsidP="004D34A5">
      <w:pPr>
        <w:spacing w:line="480" w:lineRule="auto"/>
        <w:jc w:val="both"/>
        <w:rPr>
          <w:rFonts w:ascii="Arial" w:eastAsia="Calibri" w:hAnsi="Arial" w:cs="Arial"/>
          <w:color w:val="FF0000"/>
          <w:lang w:val="id-ID"/>
        </w:rPr>
      </w:pPr>
      <w:r w:rsidRPr="009E08C5">
        <w:rPr>
          <w:rFonts w:ascii="Arial" w:eastAsia="Calibri" w:hAnsi="Arial" w:cs="Arial"/>
          <w:b/>
        </w:rPr>
        <w:t>Figure 1</w:t>
      </w:r>
      <w:r w:rsidR="00452DF2" w:rsidRPr="009E08C5">
        <w:rPr>
          <w:rFonts w:ascii="Arial" w:eastAsia="Calibri" w:hAnsi="Arial" w:cs="Arial"/>
          <w:b/>
          <w:lang w:val="id-ID"/>
        </w:rPr>
        <w:t>:</w:t>
      </w:r>
      <w:r w:rsidRPr="009E08C5">
        <w:rPr>
          <w:rFonts w:ascii="Arial" w:eastAsia="Calibri" w:hAnsi="Arial" w:cs="Arial"/>
        </w:rPr>
        <w:t xml:space="preserve"> Percentages of ulcer drugs with appropriate and inappropriate indications. The indications were evaluated based on ASHP criteria. </w:t>
      </w:r>
      <w:r w:rsidR="00720A2E" w:rsidRPr="009E08C5">
        <w:rPr>
          <w:rFonts w:ascii="Arial" w:eastAsia="Calibri" w:hAnsi="Arial" w:cs="Arial"/>
          <w:color w:val="FF0000"/>
          <w:lang w:val="id-ID"/>
        </w:rPr>
        <w:t>(Note: Please also submit Figure separately from text in JPEG/JPG format)</w:t>
      </w:r>
    </w:p>
    <w:p w:rsidR="00003BA4" w:rsidRPr="009E08C5" w:rsidRDefault="00003BA4" w:rsidP="004D34A5">
      <w:pPr>
        <w:spacing w:line="480" w:lineRule="auto"/>
        <w:jc w:val="both"/>
        <w:rPr>
          <w:rFonts w:ascii="Arial" w:eastAsia="Calibri" w:hAnsi="Arial" w:cs="Arial"/>
        </w:rPr>
      </w:pPr>
    </w:p>
    <w:p w:rsidR="00003BA4" w:rsidRPr="009E08C5" w:rsidRDefault="00003BA4" w:rsidP="004D34A5">
      <w:pPr>
        <w:spacing w:line="480" w:lineRule="auto"/>
        <w:rPr>
          <w:rFonts w:ascii="Arial" w:hAnsi="Arial" w:cs="Arial"/>
        </w:rPr>
      </w:pPr>
      <w:r w:rsidRPr="009E08C5">
        <w:rPr>
          <w:rFonts w:ascii="Arial" w:hAnsi="Arial" w:cs="Arial"/>
        </w:rPr>
        <w:br w:type="page"/>
      </w:r>
    </w:p>
    <w:p w:rsidR="00003BA4" w:rsidRPr="009E08C5" w:rsidRDefault="00452DF2" w:rsidP="004D34A5">
      <w:pPr>
        <w:pStyle w:val="NoSpacing"/>
        <w:spacing w:line="480" w:lineRule="auto"/>
        <w:jc w:val="both"/>
        <w:rPr>
          <w:rFonts w:ascii="Arial" w:hAnsi="Arial" w:cs="Arial"/>
        </w:rPr>
      </w:pPr>
      <w:r w:rsidRPr="009E08C5">
        <w:rPr>
          <w:rFonts w:ascii="Arial" w:hAnsi="Arial" w:cs="Arial"/>
          <w:b/>
        </w:rPr>
        <w:lastRenderedPageBreak/>
        <w:t>Table 1</w:t>
      </w:r>
      <w:r w:rsidRPr="009E08C5">
        <w:rPr>
          <w:rFonts w:ascii="Arial" w:hAnsi="Arial" w:cs="Arial"/>
          <w:b/>
          <w:lang w:val="id-ID"/>
        </w:rPr>
        <w:t>:</w:t>
      </w:r>
      <w:r w:rsidR="00003BA4" w:rsidRPr="009E08C5">
        <w:rPr>
          <w:rFonts w:ascii="Arial" w:hAnsi="Arial" w:cs="Arial"/>
        </w:rPr>
        <w:t xml:space="preserve"> Demographic data sample of ulcer drug users, as the inpatients of Dr. </w:t>
      </w:r>
      <w:proofErr w:type="spellStart"/>
      <w:r w:rsidR="00003BA4" w:rsidRPr="009E08C5">
        <w:rPr>
          <w:rFonts w:ascii="Arial" w:hAnsi="Arial" w:cs="Arial"/>
        </w:rPr>
        <w:t>Soetomo</w:t>
      </w:r>
      <w:proofErr w:type="spellEnd"/>
      <w:r w:rsidR="00003BA4" w:rsidRPr="009E08C5">
        <w:rPr>
          <w:rFonts w:ascii="Arial" w:hAnsi="Arial" w:cs="Arial"/>
        </w:rPr>
        <w:t xml:space="preserve"> General Hospital</w:t>
      </w:r>
    </w:p>
    <w:tbl>
      <w:tblPr>
        <w:tblW w:w="7987" w:type="dxa"/>
        <w:shd w:val="clear" w:color="auto" w:fill="FFFFFF" w:themeFill="background1"/>
        <w:tblLayout w:type="fixed"/>
        <w:tblLook w:val="04A0"/>
      </w:tblPr>
      <w:tblGrid>
        <w:gridCol w:w="2971"/>
        <w:gridCol w:w="1672"/>
        <w:gridCol w:w="1132"/>
        <w:gridCol w:w="2212"/>
      </w:tblGrid>
      <w:tr w:rsidR="00003BA4" w:rsidRPr="009E08C5" w:rsidTr="004B1BE9">
        <w:trPr>
          <w:trHeight w:val="463"/>
        </w:trPr>
        <w:tc>
          <w:tcPr>
            <w:tcW w:w="2971" w:type="dxa"/>
            <w:tcBorders>
              <w:top w:val="single" w:sz="4" w:space="0" w:color="auto"/>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bCs/>
              </w:rPr>
            </w:pPr>
            <w:r w:rsidRPr="009E08C5">
              <w:rPr>
                <w:rFonts w:ascii="Arial" w:hAnsi="Arial" w:cs="Arial"/>
                <w:bCs/>
              </w:rPr>
              <w:t>Demographic data</w:t>
            </w:r>
          </w:p>
        </w:tc>
        <w:tc>
          <w:tcPr>
            <w:tcW w:w="1672" w:type="dxa"/>
            <w:tcBorders>
              <w:top w:val="single" w:sz="4" w:space="0" w:color="auto"/>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bCs/>
              </w:rPr>
            </w:pPr>
            <w:r w:rsidRPr="009E08C5">
              <w:rPr>
                <w:rFonts w:ascii="Arial" w:hAnsi="Arial" w:cs="Arial"/>
                <w:bCs/>
              </w:rPr>
              <w:t>Category</w:t>
            </w:r>
          </w:p>
        </w:tc>
        <w:tc>
          <w:tcPr>
            <w:tcW w:w="1132" w:type="dxa"/>
            <w:tcBorders>
              <w:top w:val="single" w:sz="4" w:space="0" w:color="auto"/>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bCs/>
              </w:rPr>
            </w:pPr>
            <w:r w:rsidRPr="009E08C5">
              <w:rPr>
                <w:rFonts w:ascii="Arial" w:hAnsi="Arial" w:cs="Arial"/>
                <w:bCs/>
              </w:rPr>
              <w:t>n</w:t>
            </w:r>
          </w:p>
        </w:tc>
        <w:tc>
          <w:tcPr>
            <w:tcW w:w="2212" w:type="dxa"/>
            <w:tcBorders>
              <w:top w:val="single" w:sz="4" w:space="0" w:color="auto"/>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bCs/>
              </w:rPr>
            </w:pPr>
            <w:r w:rsidRPr="009E08C5">
              <w:rPr>
                <w:rFonts w:ascii="Arial" w:hAnsi="Arial" w:cs="Arial"/>
                <w:bCs/>
              </w:rPr>
              <w:t>Percentage (%)</w:t>
            </w:r>
          </w:p>
        </w:tc>
      </w:tr>
      <w:tr w:rsidR="00003BA4" w:rsidRPr="009E08C5" w:rsidTr="004B1BE9">
        <w:trPr>
          <w:trHeight w:val="280"/>
        </w:trPr>
        <w:tc>
          <w:tcPr>
            <w:tcW w:w="2971" w:type="dxa"/>
            <w:vMerge w:val="restart"/>
            <w:tcBorders>
              <w:top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Gender</w:t>
            </w:r>
          </w:p>
        </w:tc>
        <w:tc>
          <w:tcPr>
            <w:tcW w:w="1672" w:type="dxa"/>
            <w:tcBorders>
              <w:top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Male</w:t>
            </w:r>
          </w:p>
        </w:tc>
        <w:tc>
          <w:tcPr>
            <w:tcW w:w="1132" w:type="dxa"/>
            <w:tcBorders>
              <w:top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84</w:t>
            </w:r>
          </w:p>
        </w:tc>
        <w:tc>
          <w:tcPr>
            <w:tcW w:w="2212" w:type="dxa"/>
            <w:tcBorders>
              <w:top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55.26</w:t>
            </w:r>
          </w:p>
        </w:tc>
      </w:tr>
      <w:tr w:rsidR="00003BA4" w:rsidRPr="009E08C5" w:rsidTr="004B1BE9">
        <w:trPr>
          <w:trHeight w:val="280"/>
        </w:trPr>
        <w:tc>
          <w:tcPr>
            <w:tcW w:w="2971" w:type="dxa"/>
            <w:vMerge/>
            <w:shd w:val="clear" w:color="auto" w:fill="FFFFFF" w:themeFill="background1"/>
            <w:hideMark/>
          </w:tcPr>
          <w:p w:rsidR="00003BA4" w:rsidRPr="009E08C5" w:rsidRDefault="00003BA4" w:rsidP="004B1BE9">
            <w:pPr>
              <w:contextualSpacing/>
              <w:rPr>
                <w:rFonts w:ascii="Arial" w:hAnsi="Arial" w:cs="Arial"/>
              </w:rPr>
            </w:pPr>
          </w:p>
        </w:tc>
        <w:tc>
          <w:tcPr>
            <w:tcW w:w="167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Female</w:t>
            </w:r>
          </w:p>
        </w:tc>
        <w:tc>
          <w:tcPr>
            <w:tcW w:w="113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68</w:t>
            </w:r>
          </w:p>
        </w:tc>
        <w:tc>
          <w:tcPr>
            <w:tcW w:w="221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44.74</w:t>
            </w:r>
          </w:p>
        </w:tc>
      </w:tr>
      <w:tr w:rsidR="00003BA4" w:rsidRPr="009E08C5" w:rsidTr="004B1BE9">
        <w:trPr>
          <w:trHeight w:val="280"/>
        </w:trPr>
        <w:tc>
          <w:tcPr>
            <w:tcW w:w="2971" w:type="dxa"/>
            <w:vMerge w:val="restart"/>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Age (years)</w:t>
            </w:r>
          </w:p>
        </w:tc>
        <w:tc>
          <w:tcPr>
            <w:tcW w:w="167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 xml:space="preserve">&lt; 40 </w:t>
            </w:r>
          </w:p>
        </w:tc>
        <w:tc>
          <w:tcPr>
            <w:tcW w:w="113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52</w:t>
            </w:r>
          </w:p>
        </w:tc>
        <w:tc>
          <w:tcPr>
            <w:tcW w:w="221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34.21</w:t>
            </w:r>
          </w:p>
        </w:tc>
      </w:tr>
      <w:tr w:rsidR="00003BA4" w:rsidRPr="009E08C5" w:rsidTr="004B1BE9">
        <w:trPr>
          <w:trHeight w:val="280"/>
        </w:trPr>
        <w:tc>
          <w:tcPr>
            <w:tcW w:w="2971" w:type="dxa"/>
            <w:vMerge/>
            <w:shd w:val="clear" w:color="auto" w:fill="FFFFFF" w:themeFill="background1"/>
            <w:hideMark/>
          </w:tcPr>
          <w:p w:rsidR="00003BA4" w:rsidRPr="009E08C5" w:rsidRDefault="00003BA4" w:rsidP="004B1BE9">
            <w:pPr>
              <w:contextualSpacing/>
              <w:rPr>
                <w:rFonts w:ascii="Arial" w:hAnsi="Arial" w:cs="Arial"/>
              </w:rPr>
            </w:pPr>
          </w:p>
        </w:tc>
        <w:tc>
          <w:tcPr>
            <w:tcW w:w="167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 xml:space="preserve">40 - 64 </w:t>
            </w:r>
          </w:p>
        </w:tc>
        <w:tc>
          <w:tcPr>
            <w:tcW w:w="113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80</w:t>
            </w:r>
          </w:p>
        </w:tc>
        <w:tc>
          <w:tcPr>
            <w:tcW w:w="221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52.63</w:t>
            </w:r>
          </w:p>
        </w:tc>
      </w:tr>
      <w:tr w:rsidR="00003BA4" w:rsidRPr="009E08C5" w:rsidTr="004B1BE9">
        <w:trPr>
          <w:trHeight w:val="280"/>
        </w:trPr>
        <w:tc>
          <w:tcPr>
            <w:tcW w:w="2971" w:type="dxa"/>
            <w:vMerge/>
            <w:shd w:val="clear" w:color="auto" w:fill="FFFFFF" w:themeFill="background1"/>
            <w:hideMark/>
          </w:tcPr>
          <w:p w:rsidR="00003BA4" w:rsidRPr="009E08C5" w:rsidRDefault="00003BA4" w:rsidP="004B1BE9">
            <w:pPr>
              <w:contextualSpacing/>
              <w:rPr>
                <w:rFonts w:ascii="Arial" w:hAnsi="Arial" w:cs="Arial"/>
              </w:rPr>
            </w:pPr>
          </w:p>
        </w:tc>
        <w:tc>
          <w:tcPr>
            <w:tcW w:w="167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 xml:space="preserve">≥ 65 </w:t>
            </w:r>
          </w:p>
        </w:tc>
        <w:tc>
          <w:tcPr>
            <w:tcW w:w="113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20</w:t>
            </w:r>
          </w:p>
        </w:tc>
        <w:tc>
          <w:tcPr>
            <w:tcW w:w="221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13.16</w:t>
            </w:r>
          </w:p>
        </w:tc>
      </w:tr>
      <w:tr w:rsidR="00003BA4" w:rsidRPr="009E08C5" w:rsidTr="004B1BE9">
        <w:trPr>
          <w:trHeight w:val="280"/>
        </w:trPr>
        <w:tc>
          <w:tcPr>
            <w:tcW w:w="2971" w:type="dxa"/>
            <w:vMerge w:val="restart"/>
            <w:tcBorders>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 xml:space="preserve">Length of Stay (days) </w:t>
            </w:r>
          </w:p>
        </w:tc>
        <w:tc>
          <w:tcPr>
            <w:tcW w:w="167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 7</w:t>
            </w:r>
          </w:p>
        </w:tc>
        <w:tc>
          <w:tcPr>
            <w:tcW w:w="113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68</w:t>
            </w:r>
          </w:p>
        </w:tc>
        <w:tc>
          <w:tcPr>
            <w:tcW w:w="2212" w:type="dxa"/>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44.74</w:t>
            </w:r>
          </w:p>
        </w:tc>
      </w:tr>
      <w:tr w:rsidR="00003BA4" w:rsidRPr="009E08C5" w:rsidTr="004B1BE9">
        <w:trPr>
          <w:trHeight w:val="280"/>
        </w:trPr>
        <w:tc>
          <w:tcPr>
            <w:tcW w:w="2971" w:type="dxa"/>
            <w:vMerge/>
            <w:tcBorders>
              <w:bottom w:val="single" w:sz="4" w:space="0" w:color="auto"/>
            </w:tcBorders>
            <w:shd w:val="clear" w:color="auto" w:fill="FFFFFF" w:themeFill="background1"/>
            <w:hideMark/>
          </w:tcPr>
          <w:p w:rsidR="00003BA4" w:rsidRPr="009E08C5" w:rsidRDefault="00003BA4" w:rsidP="004B1BE9">
            <w:pPr>
              <w:contextualSpacing/>
              <w:rPr>
                <w:rFonts w:ascii="Arial" w:hAnsi="Arial" w:cs="Arial"/>
              </w:rPr>
            </w:pPr>
          </w:p>
        </w:tc>
        <w:tc>
          <w:tcPr>
            <w:tcW w:w="1672" w:type="dxa"/>
            <w:tcBorders>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&gt; 7</w:t>
            </w:r>
          </w:p>
        </w:tc>
        <w:tc>
          <w:tcPr>
            <w:tcW w:w="1132" w:type="dxa"/>
            <w:tcBorders>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84</w:t>
            </w:r>
          </w:p>
        </w:tc>
        <w:tc>
          <w:tcPr>
            <w:tcW w:w="2212" w:type="dxa"/>
            <w:tcBorders>
              <w:bottom w:val="single" w:sz="4" w:space="0" w:color="auto"/>
            </w:tcBorders>
            <w:shd w:val="clear" w:color="auto" w:fill="FFFFFF" w:themeFill="background1"/>
            <w:noWrap/>
            <w:hideMark/>
          </w:tcPr>
          <w:p w:rsidR="00003BA4" w:rsidRPr="009E08C5" w:rsidRDefault="00003BA4" w:rsidP="004B1BE9">
            <w:pPr>
              <w:contextualSpacing/>
              <w:rPr>
                <w:rFonts w:ascii="Arial" w:hAnsi="Arial" w:cs="Arial"/>
              </w:rPr>
            </w:pPr>
            <w:r w:rsidRPr="009E08C5">
              <w:rPr>
                <w:rFonts w:ascii="Arial" w:hAnsi="Arial" w:cs="Arial"/>
              </w:rPr>
              <w:t>55.26</w:t>
            </w:r>
          </w:p>
        </w:tc>
      </w:tr>
    </w:tbl>
    <w:p w:rsidR="00003BA4" w:rsidRPr="009E08C5" w:rsidRDefault="00003BA4" w:rsidP="00003BA4">
      <w:pPr>
        <w:pStyle w:val="NoSpacing"/>
        <w:jc w:val="both"/>
        <w:rPr>
          <w:rFonts w:ascii="Arial" w:hAnsi="Arial" w:cs="Arial"/>
        </w:rPr>
      </w:pPr>
    </w:p>
    <w:p w:rsidR="00003BA4" w:rsidRPr="009E08C5" w:rsidRDefault="00003BA4" w:rsidP="00003BA4">
      <w:pPr>
        <w:pStyle w:val="NoSpacing"/>
        <w:jc w:val="both"/>
        <w:rPr>
          <w:rFonts w:ascii="Arial" w:hAnsi="Arial" w:cs="Arial"/>
        </w:rPr>
      </w:pPr>
    </w:p>
    <w:p w:rsidR="00003BA4" w:rsidRPr="009E08C5" w:rsidRDefault="00003BA4" w:rsidP="00003BA4">
      <w:pPr>
        <w:pStyle w:val="NoSpacing"/>
        <w:jc w:val="both"/>
        <w:rPr>
          <w:rFonts w:ascii="Arial" w:hAnsi="Arial" w:cs="Arial"/>
        </w:rPr>
      </w:pPr>
    </w:p>
    <w:p w:rsidR="00003BA4" w:rsidRPr="009E08C5" w:rsidRDefault="00003BA4" w:rsidP="00003BA4">
      <w:pPr>
        <w:contextualSpacing/>
        <w:jc w:val="both"/>
        <w:rPr>
          <w:rFonts w:ascii="Arial" w:hAnsi="Arial" w:cs="Arial"/>
        </w:rPr>
      </w:pPr>
    </w:p>
    <w:p w:rsidR="00003BA4" w:rsidRPr="009E08C5" w:rsidRDefault="00003BA4" w:rsidP="00003BA4">
      <w:pPr>
        <w:contextualSpacing/>
        <w:jc w:val="both"/>
        <w:rPr>
          <w:rFonts w:ascii="Arial" w:hAnsi="Arial" w:cs="Arial"/>
        </w:rPr>
      </w:pPr>
    </w:p>
    <w:p w:rsidR="00003BA4" w:rsidRPr="009E08C5" w:rsidRDefault="00003BA4" w:rsidP="00AE797F">
      <w:pPr>
        <w:spacing w:after="0" w:line="240" w:lineRule="auto"/>
        <w:rPr>
          <w:rFonts w:ascii="Arial" w:hAnsi="Arial" w:cs="Arial"/>
          <w:lang w:val="id-ID"/>
        </w:rPr>
      </w:pPr>
    </w:p>
    <w:sectPr w:rsidR="00003BA4" w:rsidRPr="009E08C5" w:rsidSect="002D70B5">
      <w:pgSz w:w="11906" w:h="16838"/>
      <w:pgMar w:top="993"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750E"/>
    <w:multiLevelType w:val="hybridMultilevel"/>
    <w:tmpl w:val="5AA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DF6E52"/>
    <w:rsid w:val="00002495"/>
    <w:rsid w:val="00003BA4"/>
    <w:rsid w:val="00065D29"/>
    <w:rsid w:val="00083CE5"/>
    <w:rsid w:val="000944E3"/>
    <w:rsid w:val="001E3AB9"/>
    <w:rsid w:val="0027101B"/>
    <w:rsid w:val="002D5324"/>
    <w:rsid w:val="002D70B5"/>
    <w:rsid w:val="003D6E70"/>
    <w:rsid w:val="003E54B2"/>
    <w:rsid w:val="003E6DD4"/>
    <w:rsid w:val="004253C3"/>
    <w:rsid w:val="00447B9F"/>
    <w:rsid w:val="00452DF2"/>
    <w:rsid w:val="004D34A5"/>
    <w:rsid w:val="005C395D"/>
    <w:rsid w:val="00622688"/>
    <w:rsid w:val="006C18AE"/>
    <w:rsid w:val="006D4D38"/>
    <w:rsid w:val="00720A2E"/>
    <w:rsid w:val="00740281"/>
    <w:rsid w:val="00791C22"/>
    <w:rsid w:val="009E08C5"/>
    <w:rsid w:val="00A71561"/>
    <w:rsid w:val="00AE797F"/>
    <w:rsid w:val="00DB2308"/>
    <w:rsid w:val="00DC5760"/>
    <w:rsid w:val="00DF6E52"/>
    <w:rsid w:val="00F267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4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03BA4"/>
    <w:rPr>
      <w:color w:val="0563C1" w:themeColor="hyperlink"/>
      <w:u w:val="single"/>
    </w:rPr>
  </w:style>
  <w:style w:type="paragraph" w:styleId="HTMLPreformatted">
    <w:name w:val="HTML Preformatted"/>
    <w:basedOn w:val="Normal"/>
    <w:link w:val="HTMLPreformattedChar"/>
    <w:uiPriority w:val="99"/>
    <w:unhideWhenUsed/>
    <w:rsid w:val="0000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003BA4"/>
    <w:rPr>
      <w:rFonts w:ascii="Courier New" w:eastAsia="Times New Roman" w:hAnsi="Courier New" w:cs="Courier New"/>
      <w:sz w:val="20"/>
      <w:szCs w:val="20"/>
      <w:lang w:val="en-ID"/>
    </w:rPr>
  </w:style>
  <w:style w:type="paragraph" w:styleId="ListParagraph">
    <w:name w:val="List Paragraph"/>
    <w:basedOn w:val="Normal"/>
    <w:uiPriority w:val="34"/>
    <w:qFormat/>
    <w:rsid w:val="00003BA4"/>
    <w:pPr>
      <w:spacing w:after="0" w:line="240" w:lineRule="auto"/>
      <w:ind w:left="720"/>
      <w:contextualSpacing/>
    </w:pPr>
    <w:rPr>
      <w:rFonts w:ascii="Times New Roman" w:eastAsia="Times New Roman" w:hAnsi="Times New Roman" w:cs="Times New Roman"/>
      <w:sz w:val="24"/>
      <w:szCs w:val="24"/>
      <w:lang w:val="en-ID"/>
    </w:rPr>
  </w:style>
  <w:style w:type="paragraph" w:styleId="NoSpacing">
    <w:name w:val="No Spacing"/>
    <w:uiPriority w:val="1"/>
    <w:qFormat/>
    <w:rsid w:val="00003BA4"/>
    <w:pPr>
      <w:spacing w:after="0" w:line="240" w:lineRule="auto"/>
    </w:pPr>
    <w:rPr>
      <w:lang w:val="en-US"/>
    </w:rPr>
  </w:style>
  <w:style w:type="table" w:styleId="TableGrid">
    <w:name w:val="Table Grid"/>
    <w:basedOn w:val="TableNormal"/>
    <w:uiPriority w:val="39"/>
    <w:rsid w:val="00003B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BA4"/>
    <w:pPr>
      <w:tabs>
        <w:tab w:val="center" w:pos="4680"/>
        <w:tab w:val="right" w:pos="9360"/>
      </w:tabs>
      <w:spacing w:after="0" w:line="240" w:lineRule="auto"/>
    </w:pPr>
    <w:rPr>
      <w:rFonts w:ascii="Times New Roman" w:eastAsia="Times New Roman" w:hAnsi="Times New Roman" w:cs="Times New Roman"/>
      <w:sz w:val="24"/>
      <w:szCs w:val="24"/>
      <w:lang w:val="en-ID"/>
    </w:rPr>
  </w:style>
  <w:style w:type="character" w:customStyle="1" w:styleId="HeaderChar">
    <w:name w:val="Header Char"/>
    <w:basedOn w:val="DefaultParagraphFont"/>
    <w:link w:val="Header"/>
    <w:uiPriority w:val="99"/>
    <w:rsid w:val="00003BA4"/>
    <w:rPr>
      <w:rFonts w:ascii="Times New Roman" w:eastAsia="Times New Roman" w:hAnsi="Times New Roman" w:cs="Times New Roman"/>
      <w:sz w:val="24"/>
      <w:szCs w:val="24"/>
      <w:lang w:val="en-ID"/>
    </w:rPr>
  </w:style>
  <w:style w:type="paragraph" w:styleId="Bibliography">
    <w:name w:val="Bibliography"/>
    <w:basedOn w:val="Normal"/>
    <w:next w:val="Normal"/>
    <w:uiPriority w:val="37"/>
    <w:unhideWhenUsed/>
    <w:rsid w:val="00003BA4"/>
    <w:pPr>
      <w:spacing w:after="0" w:line="240" w:lineRule="auto"/>
    </w:pPr>
    <w:rPr>
      <w:rFonts w:ascii="Times New Roman" w:eastAsia="Times New Roman" w:hAnsi="Times New Roman" w:cs="Times New Roman"/>
      <w:sz w:val="24"/>
      <w:szCs w:val="24"/>
      <w:lang w:val="en-ID"/>
    </w:rPr>
  </w:style>
  <w:style w:type="character" w:styleId="Emphasis">
    <w:name w:val="Emphasis"/>
    <w:basedOn w:val="DefaultParagraphFont"/>
    <w:uiPriority w:val="20"/>
    <w:qFormat/>
    <w:rsid w:val="00003BA4"/>
    <w:rPr>
      <w:i/>
      <w:iCs/>
    </w:rPr>
  </w:style>
  <w:style w:type="character" w:customStyle="1" w:styleId="pbwul">
    <w:name w:val="pbwul"/>
    <w:basedOn w:val="DefaultParagraphFont"/>
    <w:rsid w:val="00003BA4"/>
  </w:style>
  <w:style w:type="character" w:customStyle="1" w:styleId="qzpluc">
    <w:name w:val="qzpluc"/>
    <w:basedOn w:val="DefaultParagraphFont"/>
    <w:rsid w:val="00003BA4"/>
  </w:style>
  <w:style w:type="paragraph" w:styleId="BalloonText">
    <w:name w:val="Balloon Text"/>
    <w:basedOn w:val="Normal"/>
    <w:link w:val="BalloonTextChar"/>
    <w:uiPriority w:val="99"/>
    <w:semiHidden/>
    <w:unhideWhenUsed/>
    <w:rsid w:val="00003BA4"/>
    <w:pPr>
      <w:spacing w:after="0" w:line="240" w:lineRule="auto"/>
    </w:pPr>
    <w:rPr>
      <w:rFonts w:ascii="Segoe UI" w:eastAsia="Times New Roman" w:hAnsi="Segoe UI" w:cs="Segoe UI"/>
      <w:sz w:val="18"/>
      <w:szCs w:val="18"/>
      <w:lang w:val="en-ID"/>
    </w:rPr>
  </w:style>
  <w:style w:type="character" w:customStyle="1" w:styleId="BalloonTextChar">
    <w:name w:val="Balloon Text Char"/>
    <w:basedOn w:val="DefaultParagraphFont"/>
    <w:link w:val="BalloonText"/>
    <w:uiPriority w:val="99"/>
    <w:semiHidden/>
    <w:rsid w:val="00003BA4"/>
    <w:rPr>
      <w:rFonts w:ascii="Segoe UI" w:eastAsia="Times New Roman" w:hAnsi="Segoe UI" w:cs="Segoe UI"/>
      <w:sz w:val="18"/>
      <w:szCs w:val="18"/>
      <w:lang w:val="en-ID"/>
    </w:rPr>
  </w:style>
  <w:style w:type="paragraph" w:styleId="Footer">
    <w:name w:val="footer"/>
    <w:basedOn w:val="Normal"/>
    <w:link w:val="FooterChar"/>
    <w:uiPriority w:val="99"/>
    <w:unhideWhenUsed/>
    <w:rsid w:val="00003BA4"/>
    <w:pPr>
      <w:tabs>
        <w:tab w:val="center" w:pos="4513"/>
        <w:tab w:val="right" w:pos="9026"/>
      </w:tabs>
      <w:spacing w:after="0" w:line="240" w:lineRule="auto"/>
    </w:pPr>
    <w:rPr>
      <w:rFonts w:ascii="Times New Roman" w:eastAsia="Times New Roman" w:hAnsi="Times New Roman" w:cs="Times New Roman"/>
      <w:sz w:val="24"/>
      <w:szCs w:val="24"/>
      <w:lang w:val="en-ID"/>
    </w:rPr>
  </w:style>
  <w:style w:type="character" w:customStyle="1" w:styleId="FooterChar">
    <w:name w:val="Footer Char"/>
    <w:basedOn w:val="DefaultParagraphFont"/>
    <w:link w:val="Footer"/>
    <w:uiPriority w:val="99"/>
    <w:rsid w:val="00003BA4"/>
    <w:rPr>
      <w:rFonts w:ascii="Times New Roman" w:eastAsia="Times New Roman" w:hAnsi="Times New Roman" w:cs="Times New Roman"/>
      <w:sz w:val="24"/>
      <w:szCs w:val="24"/>
      <w:lang w:val="en-ID"/>
    </w:rPr>
  </w:style>
  <w:style w:type="paragraph" w:styleId="NormalWeb">
    <w:name w:val="Normal (Web)"/>
    <w:basedOn w:val="Normal"/>
    <w:uiPriority w:val="99"/>
    <w:unhideWhenUsed/>
    <w:rsid w:val="00003BA4"/>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uhardjono@ff.unair.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S200E</cp:lastModifiedBy>
  <cp:revision>3</cp:revision>
  <dcterms:created xsi:type="dcterms:W3CDTF">2020-06-03T05:18:00Z</dcterms:created>
  <dcterms:modified xsi:type="dcterms:W3CDTF">2020-06-03T05:21:00Z</dcterms:modified>
</cp:coreProperties>
</file>